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63312" w14:textId="0B9FFFA8"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F0716A" w:rsidRPr="00F0716A">
        <w:rPr>
          <w:sz w:val="32"/>
          <w:szCs w:val="32"/>
        </w:rPr>
        <w:t>R2-1713349</w:t>
      </w:r>
    </w:p>
    <w:p w14:paraId="6851DAA8"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rsidR="00BF3B64">
        <w:t>November</w:t>
      </w:r>
      <w:r>
        <w:t xml:space="preserve">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273E43D0" w14:textId="77777777" w:rsidR="00E90E49" w:rsidRPr="00CE0424" w:rsidRDefault="00E90E49" w:rsidP="00357380">
      <w:pPr>
        <w:pStyle w:val="3GPPHeader"/>
      </w:pPr>
    </w:p>
    <w:p w14:paraId="1ABC41CE" w14:textId="141F9425"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F0716A" w:rsidRPr="00F0716A">
        <w:rPr>
          <w:sz w:val="22"/>
          <w:szCs w:val="22"/>
          <w:lang w:val="sv-SE"/>
        </w:rPr>
        <w:t>10.2.17</w:t>
      </w:r>
    </w:p>
    <w:p w14:paraId="43353B00" w14:textId="77777777" w:rsidR="00E90E49" w:rsidRPr="0081332F" w:rsidRDefault="003D3C45" w:rsidP="00F64C2B">
      <w:pPr>
        <w:pStyle w:val="3GPPHeader"/>
        <w:rPr>
          <w:sz w:val="22"/>
          <w:szCs w:val="22"/>
        </w:rPr>
      </w:pPr>
      <w:r w:rsidRPr="0081332F">
        <w:rPr>
          <w:sz w:val="22"/>
          <w:szCs w:val="22"/>
        </w:rPr>
        <w:t>Source:</w:t>
      </w:r>
      <w:r w:rsidR="00E90E49" w:rsidRPr="0081332F">
        <w:rPr>
          <w:sz w:val="22"/>
          <w:szCs w:val="22"/>
        </w:rPr>
        <w:tab/>
      </w:r>
      <w:r w:rsidR="00F64C2B" w:rsidRPr="0081332F">
        <w:rPr>
          <w:sz w:val="22"/>
          <w:szCs w:val="22"/>
        </w:rPr>
        <w:t>Ericsson</w:t>
      </w:r>
    </w:p>
    <w:p w14:paraId="6C254D8F" w14:textId="09812F22" w:rsidR="00E90E49" w:rsidRPr="0081332F" w:rsidRDefault="003D3C45" w:rsidP="00311702">
      <w:pPr>
        <w:pStyle w:val="3GPPHeader"/>
        <w:rPr>
          <w:sz w:val="22"/>
          <w:szCs w:val="22"/>
        </w:rPr>
      </w:pPr>
      <w:r w:rsidRPr="0081332F">
        <w:rPr>
          <w:sz w:val="22"/>
          <w:szCs w:val="22"/>
        </w:rPr>
        <w:t>Title:</w:t>
      </w:r>
      <w:r w:rsidR="00E90E49" w:rsidRPr="0081332F">
        <w:rPr>
          <w:sz w:val="22"/>
          <w:szCs w:val="22"/>
        </w:rPr>
        <w:tab/>
      </w:r>
      <w:r w:rsidR="006714A4" w:rsidRPr="0081332F">
        <w:rPr>
          <w:sz w:val="22"/>
          <w:szCs w:val="22"/>
        </w:rPr>
        <w:t>On QCIs for EPC based U</w:t>
      </w:r>
      <w:r w:rsidR="00152D8A">
        <w:rPr>
          <w:sz w:val="22"/>
          <w:szCs w:val="22"/>
        </w:rPr>
        <w:t>R</w:t>
      </w:r>
      <w:r w:rsidR="006714A4" w:rsidRPr="0081332F">
        <w:rPr>
          <w:sz w:val="22"/>
          <w:szCs w:val="22"/>
        </w:rPr>
        <w:t>LLC</w:t>
      </w:r>
    </w:p>
    <w:p w14:paraId="6E1D49A1" w14:textId="77777777" w:rsidR="00E90E49" w:rsidRDefault="00E90E49" w:rsidP="00D546FF">
      <w:pPr>
        <w:pStyle w:val="3GPPHeader"/>
        <w:rPr>
          <w:sz w:val="22"/>
          <w:szCs w:val="22"/>
        </w:rPr>
      </w:pPr>
      <w:r w:rsidRPr="0081332F">
        <w:rPr>
          <w:sz w:val="22"/>
          <w:szCs w:val="22"/>
        </w:rPr>
        <w:t>Document for:</w:t>
      </w:r>
      <w:r w:rsidRPr="0081332F">
        <w:rPr>
          <w:sz w:val="22"/>
          <w:szCs w:val="22"/>
        </w:rPr>
        <w:tab/>
      </w:r>
      <w:r w:rsidRPr="00FC153A">
        <w:rPr>
          <w:sz w:val="22"/>
          <w:szCs w:val="22"/>
        </w:rPr>
        <w:t>Discussion, Decision</w:t>
      </w:r>
    </w:p>
    <w:p w14:paraId="749E87DE" w14:textId="77777777" w:rsidR="00C24345" w:rsidRDefault="00E90E49" w:rsidP="00A2052C">
      <w:pPr>
        <w:pStyle w:val="Heading1"/>
      </w:pPr>
      <w:r w:rsidRPr="00CE0424">
        <w:t>Introduction</w:t>
      </w:r>
    </w:p>
    <w:p w14:paraId="00CF3C86" w14:textId="64B309FF" w:rsidR="00A2052C" w:rsidRPr="00A2052C" w:rsidRDefault="00862097" w:rsidP="00A2052C">
      <w:r>
        <w:t xml:space="preserve">RAN2 received </w:t>
      </w:r>
      <w:r w:rsidR="00692F0F">
        <w:t>a</w:t>
      </w:r>
      <w:r>
        <w:t xml:space="preserve"> response LS from SA2 </w:t>
      </w:r>
      <w:r w:rsidR="007A7F43">
        <w:t xml:space="preserve">[1], </w:t>
      </w:r>
      <w:r w:rsidR="00D61F87">
        <w:t>“</w:t>
      </w:r>
      <w:r w:rsidRPr="00FC153A">
        <w:rPr>
          <w:rFonts w:eastAsia="Malgun Gothic" w:cs="Arial"/>
        </w:rPr>
        <w:t>Reply LS to RAN 2 on QCIs for EPC based U</w:t>
      </w:r>
      <w:r w:rsidR="00152D8A">
        <w:rPr>
          <w:rFonts w:eastAsia="Malgun Gothic" w:cs="Arial"/>
        </w:rPr>
        <w:t>R</w:t>
      </w:r>
      <w:r w:rsidRPr="00FC153A">
        <w:rPr>
          <w:rFonts w:eastAsia="Malgun Gothic" w:cs="Arial"/>
        </w:rPr>
        <w:t>LLC</w:t>
      </w:r>
      <w:r w:rsidR="007A7F43">
        <w:rPr>
          <w:rFonts w:eastAsia="Malgun Gothic" w:cs="Arial"/>
        </w:rPr>
        <w:t>”</w:t>
      </w:r>
      <w:r>
        <w:rPr>
          <w:rFonts w:eastAsia="Malgun Gothic" w:cs="Arial"/>
          <w:b/>
        </w:rPr>
        <w:t xml:space="preserve">. </w:t>
      </w:r>
      <w:r w:rsidRPr="00862097">
        <w:rPr>
          <w:rFonts w:eastAsia="Malgun Gothic" w:cs="Arial"/>
        </w:rPr>
        <w:t>This contribution discusses the SA2 input provided in the LS and provides a way forward.</w:t>
      </w:r>
    </w:p>
    <w:p w14:paraId="2951914F" w14:textId="77777777" w:rsidR="004000E8" w:rsidRPr="00CE0424" w:rsidRDefault="004000E8" w:rsidP="00CE0424">
      <w:pPr>
        <w:pStyle w:val="Heading1"/>
      </w:pPr>
      <w:bookmarkStart w:id="0" w:name="_Ref178064866"/>
      <w:r w:rsidRPr="00CE0424">
        <w:t>Discussion</w:t>
      </w:r>
      <w:bookmarkEnd w:id="0"/>
    </w:p>
    <w:p w14:paraId="3940591F" w14:textId="77777777" w:rsidR="00DE66C9" w:rsidRDefault="000A4EC3" w:rsidP="00CE0424">
      <w:pPr>
        <w:pStyle w:val="BodyText"/>
      </w:pPr>
      <w:r>
        <w:t>The</w:t>
      </w:r>
      <w:r w:rsidR="0009227B">
        <w:t xml:space="preserve"> SA2</w:t>
      </w:r>
      <w:r>
        <w:t xml:space="preserve"> LS</w:t>
      </w:r>
      <w:r w:rsidR="00CE3E91">
        <w:t xml:space="preserve"> addresses </w:t>
      </w:r>
      <w:r w:rsidR="00BD4BB9">
        <w:t>t</w:t>
      </w:r>
      <w:r w:rsidR="007079D4">
        <w:t>hr</w:t>
      </w:r>
      <w:r w:rsidR="00BD4BB9">
        <w:t>e</w:t>
      </w:r>
      <w:r w:rsidR="007079D4">
        <w:t>e</w:t>
      </w:r>
      <w:r w:rsidR="00CE3E91">
        <w:t xml:space="preserve"> </w:t>
      </w:r>
      <w:r>
        <w:t>aspects:</w:t>
      </w:r>
    </w:p>
    <w:p w14:paraId="74A7BBEF" w14:textId="77777777" w:rsidR="00DE66C9" w:rsidRDefault="000A4EC3" w:rsidP="000A4EC3">
      <w:pPr>
        <w:pStyle w:val="BodyText"/>
        <w:numPr>
          <w:ilvl w:val="0"/>
          <w:numId w:val="16"/>
        </w:numPr>
      </w:pPr>
      <w:r>
        <w:t>The value</w:t>
      </w:r>
      <w:r w:rsidR="00DE66C9">
        <w:t>s</w:t>
      </w:r>
      <w:r>
        <w:t xml:space="preserve"> of the </w:t>
      </w:r>
      <w:r w:rsidR="00DE66C9">
        <w:t xml:space="preserve">standardized </w:t>
      </w:r>
      <w:r>
        <w:t xml:space="preserve">QCI </w:t>
      </w:r>
      <w:r w:rsidR="00DE66C9">
        <w:t>characteristics, e.g. Packet Del</w:t>
      </w:r>
      <w:r w:rsidR="00336A0D">
        <w:t>a</w:t>
      </w:r>
      <w:r w:rsidR="00DE66C9">
        <w:t>y Budget (PDB);</w:t>
      </w:r>
    </w:p>
    <w:p w14:paraId="61E1B4DC" w14:textId="77777777" w:rsidR="00DE66C9" w:rsidRDefault="00DE66C9" w:rsidP="000A4EC3">
      <w:pPr>
        <w:pStyle w:val="BodyText"/>
        <w:numPr>
          <w:ilvl w:val="0"/>
          <w:numId w:val="16"/>
        </w:numPr>
      </w:pPr>
      <w:r>
        <w:t>The d</w:t>
      </w:r>
      <w:r w:rsidR="003E3FAB">
        <w:t>iscussion on</w:t>
      </w:r>
      <w:r>
        <w:t xml:space="preserve"> additional traffic/flow attributes such as packet size, packet arrival rate, activity factor, and maximum data rates.</w:t>
      </w:r>
    </w:p>
    <w:p w14:paraId="2AE451A3" w14:textId="77777777" w:rsidR="007079D4" w:rsidRDefault="007079D4" w:rsidP="000A4EC3">
      <w:pPr>
        <w:pStyle w:val="BodyText"/>
        <w:numPr>
          <w:ilvl w:val="0"/>
          <w:numId w:val="16"/>
        </w:numPr>
      </w:pPr>
      <w:r>
        <w:t>The use of GBR and non-GBR bearers.</w:t>
      </w:r>
    </w:p>
    <w:p w14:paraId="141C9B68" w14:textId="77777777" w:rsidR="003742AC" w:rsidRDefault="00DE66C9" w:rsidP="00A04F49">
      <w:pPr>
        <w:pStyle w:val="BodyText"/>
      </w:pPr>
      <w:r>
        <w:t>This will be further discussed in the next sections.</w:t>
      </w:r>
    </w:p>
    <w:p w14:paraId="2882994F" w14:textId="77777777" w:rsidR="00CE0424" w:rsidRDefault="00CE0424" w:rsidP="00CE0424">
      <w:pPr>
        <w:pStyle w:val="Heading2"/>
      </w:pPr>
      <w:r>
        <w:t>More detailed discussion</w:t>
      </w:r>
    </w:p>
    <w:p w14:paraId="35402BD7" w14:textId="77777777" w:rsidR="00CE0424" w:rsidRDefault="007079D4" w:rsidP="00CE0424">
      <w:pPr>
        <w:pStyle w:val="Heading3"/>
      </w:pPr>
      <w:r>
        <w:t>PDB Values</w:t>
      </w:r>
      <w:r w:rsidR="007D4DA9">
        <w:t xml:space="preserve"> </w:t>
      </w:r>
    </w:p>
    <w:p w14:paraId="79DE9D29" w14:textId="4393704D" w:rsidR="007D4DA9" w:rsidRDefault="007D4DA9" w:rsidP="007D4DA9">
      <w:pPr>
        <w:pStyle w:val="BodyText"/>
      </w:pPr>
      <w:bookmarkStart w:id="1" w:name="_Toc347822667"/>
      <w:bookmarkStart w:id="2" w:name="_Toc347823813"/>
      <w:bookmarkStart w:id="3" w:name="_Toc347823994"/>
      <w:bookmarkStart w:id="4" w:name="_Toc347824245"/>
      <w:r>
        <w:t xml:space="preserve">The </w:t>
      </w:r>
      <w:r w:rsidR="00565F65">
        <w:t xml:space="preserve">SA2 </w:t>
      </w:r>
      <w:r>
        <w:t>LS proposes PDB values, including the packet delay budget for the processing and transfer delay from the SG</w:t>
      </w:r>
      <w:r w:rsidR="00AA2E4D">
        <w:t>I</w:t>
      </w:r>
      <w:r>
        <w:t xml:space="preserve"> to eNB, of 10ms. The processing and </w:t>
      </w:r>
      <w:r w:rsidR="005F31D8">
        <w:t xml:space="preserve">transfer </w:t>
      </w:r>
      <w:r>
        <w:t>delay between the SGI and eNB is assumed to be 1</w:t>
      </w:r>
      <w:r w:rsidR="00B4060F">
        <w:t xml:space="preserve"> </w:t>
      </w:r>
      <w:r>
        <w:t>ms and in some cases 2</w:t>
      </w:r>
      <w:r w:rsidR="00B4060F">
        <w:t xml:space="preserve"> </w:t>
      </w:r>
      <w:r>
        <w:t>ms, leaving 8ms to 9ms for the latency between the eNB and the UE.</w:t>
      </w:r>
    </w:p>
    <w:p w14:paraId="6C4027BA" w14:textId="10E899EF" w:rsidR="007D4DA9" w:rsidRDefault="007D4DA9" w:rsidP="007D4DA9">
      <w:pPr>
        <w:pStyle w:val="BodyText"/>
      </w:pPr>
      <w:r>
        <w:t>On the other hand, RAN1 informed SA2 in R1-1715089</w:t>
      </w:r>
      <w:r w:rsidR="0025519D">
        <w:t xml:space="preserve"> </w:t>
      </w:r>
      <w:r w:rsidR="00FC2C9C">
        <w:t>[2</w:t>
      </w:r>
      <w:r w:rsidR="0025519D">
        <w:t>]</w:t>
      </w:r>
      <w:r>
        <w:t xml:space="preserve"> that RAN is aiming to fulfil the following targets:</w:t>
      </w:r>
    </w:p>
    <w:p w14:paraId="7440F1E5" w14:textId="64C2A9CE" w:rsidR="007D4DA9" w:rsidRDefault="007D4DA9" w:rsidP="007D4DA9">
      <w:pPr>
        <w:pStyle w:val="BodyText"/>
        <w:rPr>
          <w:i/>
          <w:iCs/>
          <w:lang w:val="en-US"/>
        </w:rPr>
      </w:pPr>
      <w:r>
        <w:rPr>
          <w:i/>
          <w:iCs/>
          <w:color w:val="000000"/>
        </w:rPr>
        <w:t xml:space="preserve">“... It is however clear that NR will support one way latency down to 1 ms one-way and with a reliability of </w:t>
      </w:r>
      <w:r>
        <w:rPr>
          <w:i/>
          <w:iCs/>
          <w:lang w:val="en-US"/>
        </w:rPr>
        <w:t>1-10</w:t>
      </w:r>
      <w:r>
        <w:rPr>
          <w:i/>
          <w:iCs/>
          <w:vertAlign w:val="superscript"/>
          <w:lang w:val="en-US"/>
        </w:rPr>
        <w:t>-5</w:t>
      </w:r>
      <w:r>
        <w:rPr>
          <w:i/>
          <w:iCs/>
          <w:lang w:val="en-US"/>
        </w:rPr>
        <w:t xml:space="preserve"> for a packet size of 32 bytes according to TR 38.913</w:t>
      </w:r>
      <w:r w:rsidR="00FC2C9C">
        <w:rPr>
          <w:i/>
          <w:iCs/>
          <w:lang w:val="en-US"/>
        </w:rPr>
        <w:t xml:space="preserve"> [3]</w:t>
      </w:r>
      <w:r w:rsidRPr="0038462A">
        <w:rPr>
          <w:i/>
          <w:iCs/>
          <w:lang w:val="en-US"/>
        </w:rPr>
        <w:t xml:space="preserve">. The target for user plane latency for UL and DL </w:t>
      </w:r>
      <w:r>
        <w:rPr>
          <w:i/>
          <w:iCs/>
          <w:lang w:val="en-US"/>
        </w:rPr>
        <w:t xml:space="preserve">within the RAN </w:t>
      </w:r>
      <w:r w:rsidRPr="0038462A">
        <w:rPr>
          <w:i/>
          <w:iCs/>
          <w:lang w:val="en-US"/>
        </w:rPr>
        <w:t>is 0.5 ms (without reliability requirements).</w:t>
      </w:r>
      <w:r>
        <w:rPr>
          <w:i/>
          <w:iCs/>
          <w:lang w:val="en-US"/>
        </w:rPr>
        <w:t>”</w:t>
      </w:r>
    </w:p>
    <w:p w14:paraId="7A8CCA9C" w14:textId="77777777" w:rsidR="007D4DA9" w:rsidRPr="00F625BD" w:rsidRDefault="007D4DA9" w:rsidP="007D4DA9">
      <w:pPr>
        <w:pStyle w:val="BodyText"/>
      </w:pPr>
      <w:r w:rsidRPr="00F625BD">
        <w:t>and</w:t>
      </w:r>
    </w:p>
    <w:p w14:paraId="0645BC96" w14:textId="77777777" w:rsidR="007D4DA9" w:rsidRDefault="007D4DA9" w:rsidP="007D4DA9">
      <w:pPr>
        <w:pStyle w:val="BodyText"/>
      </w:pPr>
      <w:r>
        <w:rPr>
          <w:i/>
          <w:iCs/>
          <w:color w:val="000000"/>
        </w:rPr>
        <w:t>“..</w:t>
      </w:r>
      <w:r>
        <w:rPr>
          <w:i/>
          <w:iCs/>
          <w:lang w:val="en-US"/>
        </w:rPr>
        <w:t>For LTE, there are two work items that improve the latency and reliability which are LTE_HRLLC and LTE_sTTIandPT. The work item LTE_sTTIandPT is not yet finalized but the current assessment is that it will provide one way latency within the RAN between 0.5 and 1 ms.”</w:t>
      </w:r>
    </w:p>
    <w:p w14:paraId="3C6067FC" w14:textId="77777777" w:rsidR="00D377EA" w:rsidRDefault="00D377EA" w:rsidP="00D377EA">
      <w:pPr>
        <w:pStyle w:val="Observation"/>
        <w:numPr>
          <w:ilvl w:val="0"/>
          <w:numId w:val="0"/>
        </w:numPr>
        <w:ind w:left="1701"/>
      </w:pPr>
    </w:p>
    <w:p w14:paraId="59820FCD" w14:textId="77777777" w:rsidR="00A04F49" w:rsidRPr="00E26FDE" w:rsidRDefault="00D377EA" w:rsidP="006F6B63">
      <w:pPr>
        <w:pStyle w:val="Observation"/>
      </w:pPr>
      <w:bookmarkStart w:id="5" w:name="_Toc498609587"/>
      <w:bookmarkStart w:id="6" w:name="_Toc498643565"/>
      <w:bookmarkStart w:id="7" w:name="_Toc498643626"/>
      <w:bookmarkStart w:id="8" w:name="_Toc498643799"/>
      <w:bookmarkStart w:id="9" w:name="_Toc498643969"/>
      <w:bookmarkStart w:id="10" w:name="_Hlk498590903"/>
      <w:r w:rsidRPr="006F6B63">
        <w:t xml:space="preserve">The PDB values proposed in the </w:t>
      </w:r>
      <w:r w:rsidR="006815F6" w:rsidRPr="006F6B63">
        <w:t xml:space="preserve">SA2 </w:t>
      </w:r>
      <w:r w:rsidRPr="00152D8A">
        <w:t xml:space="preserve">LS do not reflect latencies targeted by RAN in context of the work on </w:t>
      </w:r>
      <w:r w:rsidR="005256D6" w:rsidRPr="005B3B3E">
        <w:t>low latency</w:t>
      </w:r>
      <w:r w:rsidR="00CE0424" w:rsidRPr="005B3B3E">
        <w:t>.</w:t>
      </w:r>
      <w:bookmarkEnd w:id="1"/>
      <w:bookmarkEnd w:id="2"/>
      <w:bookmarkEnd w:id="3"/>
      <w:bookmarkEnd w:id="4"/>
      <w:bookmarkEnd w:id="5"/>
      <w:bookmarkEnd w:id="6"/>
      <w:bookmarkEnd w:id="7"/>
      <w:bookmarkEnd w:id="8"/>
      <w:bookmarkEnd w:id="9"/>
    </w:p>
    <w:bookmarkEnd w:id="10"/>
    <w:p w14:paraId="6DA522D5" w14:textId="240D0C22" w:rsidR="00EF014C" w:rsidRDefault="00EF014C" w:rsidP="00EF014C">
      <w:pPr>
        <w:pStyle w:val="BodyText"/>
      </w:pPr>
      <w:r>
        <w:t>The SA1 TS 22.261 indicate</w:t>
      </w:r>
      <w:r w:rsidR="00C82D5E">
        <w:t>s</w:t>
      </w:r>
      <w:r>
        <w:t xml:space="preserve"> in the table </w:t>
      </w:r>
      <w:r w:rsidR="00C82D5E">
        <w:t>7.2.2-1 scenarios</w:t>
      </w:r>
      <w:r>
        <w:t xml:space="preserve"> that </w:t>
      </w:r>
      <w:r w:rsidR="00C82D5E">
        <w:t>exhibit tighter latency requirements</w:t>
      </w:r>
      <w:r>
        <w:t xml:space="preserve"> than what is captured in the SA2 LS, e.g. </w:t>
      </w:r>
      <w:r w:rsidR="001E55C3">
        <w:t xml:space="preserve">in </w:t>
      </w:r>
      <w:r>
        <w:t xml:space="preserve">the </w:t>
      </w:r>
      <w:r w:rsidR="00B4060F">
        <w:t>s</w:t>
      </w:r>
      <w:r w:rsidR="001E55C3">
        <w:t>c</w:t>
      </w:r>
      <w:r w:rsidR="00B4060F">
        <w:t>enario</w:t>
      </w:r>
      <w:r>
        <w:t xml:space="preserve"> of discrete automation control</w:t>
      </w:r>
      <w:r w:rsidR="007F17FD">
        <w:t xml:space="preserve"> or</w:t>
      </w:r>
      <w:r>
        <w:t xml:space="preserve"> tactile interaction.</w:t>
      </w:r>
    </w:p>
    <w:p w14:paraId="73362CC7" w14:textId="77777777" w:rsidR="00EF014C" w:rsidRPr="00F0716A" w:rsidRDefault="00EF014C" w:rsidP="006F6B63">
      <w:pPr>
        <w:pStyle w:val="Observation"/>
      </w:pPr>
      <w:bookmarkStart w:id="11" w:name="_Toc498609588"/>
      <w:bookmarkStart w:id="12" w:name="_Toc498643566"/>
      <w:bookmarkStart w:id="13" w:name="_Toc498643627"/>
      <w:bookmarkStart w:id="14" w:name="_Toc498643800"/>
      <w:bookmarkStart w:id="15" w:name="_Toc498643970"/>
      <w:r w:rsidRPr="006F6B63">
        <w:lastRenderedPageBreak/>
        <w:t xml:space="preserve">The SA1 TS 22.261 indicates the ambition to provide 3GPP </w:t>
      </w:r>
      <w:r w:rsidR="00C82D5E" w:rsidRPr="006F6B63">
        <w:t xml:space="preserve">support for scenarios requiring tighter latency requirements than </w:t>
      </w:r>
      <w:r w:rsidR="000B0B02" w:rsidRPr="005B3B3E">
        <w:t xml:space="preserve">those </w:t>
      </w:r>
      <w:r w:rsidR="007D4190" w:rsidRPr="005B3B3E">
        <w:t>expressed by the</w:t>
      </w:r>
      <w:r w:rsidR="00C82D5E" w:rsidRPr="005B3B3E">
        <w:t xml:space="preserve"> </w:t>
      </w:r>
      <w:r w:rsidR="007D4190" w:rsidRPr="00F0716A">
        <w:t xml:space="preserve">PDB values included in </w:t>
      </w:r>
      <w:r w:rsidR="00C82D5E" w:rsidRPr="00F0716A">
        <w:t>the SA2 LS</w:t>
      </w:r>
      <w:r w:rsidRPr="00F0716A">
        <w:t>.</w:t>
      </w:r>
      <w:bookmarkEnd w:id="11"/>
      <w:bookmarkEnd w:id="12"/>
      <w:bookmarkEnd w:id="13"/>
      <w:bookmarkEnd w:id="14"/>
      <w:bookmarkEnd w:id="15"/>
    </w:p>
    <w:p w14:paraId="0060C19D" w14:textId="77777777" w:rsidR="00EF014C" w:rsidRDefault="00C82D5E" w:rsidP="00C82D5E">
      <w:pPr>
        <w:pStyle w:val="BodyText"/>
      </w:pPr>
      <w:r>
        <w:t>Given</w:t>
      </w:r>
      <w:r w:rsidR="00AC5637">
        <w:t xml:space="preserve"> the SA1 scenarios captured in TS 22.261</w:t>
      </w:r>
      <w:r>
        <w:t xml:space="preserve"> and the</w:t>
      </w:r>
      <w:r w:rsidR="00EB51C8">
        <w:t xml:space="preserve"> latencies targeted by RAN</w:t>
      </w:r>
      <w:r w:rsidR="00596663">
        <w:t>,</w:t>
      </w:r>
      <w:r>
        <w:t xml:space="preserve"> as communicated by RAN1 in R1-1715098, it is proposed</w:t>
      </w:r>
      <w:r w:rsidR="000B623C">
        <w:t>, for the URLLC scenarios,</w:t>
      </w:r>
      <w:r>
        <w:t xml:space="preserve"> to </w:t>
      </w:r>
      <w:r w:rsidR="00521833">
        <w:t>add</w:t>
      </w:r>
      <w:r>
        <w:t xml:space="preserve"> PDB value(s) </w:t>
      </w:r>
      <w:r w:rsidR="000B623C">
        <w:t xml:space="preserve">to the standardized QCI(s) </w:t>
      </w:r>
      <w:r w:rsidR="00521833">
        <w:t>describing tighter latency requirements</w:t>
      </w:r>
      <w:r>
        <w:t>.</w:t>
      </w:r>
    </w:p>
    <w:p w14:paraId="1AF04621" w14:textId="1B52A8F6" w:rsidR="00C82D5E" w:rsidRDefault="00623D9D" w:rsidP="00FC153A">
      <w:pPr>
        <w:pStyle w:val="Proposal"/>
      </w:pPr>
      <w:bookmarkStart w:id="16" w:name="_Toc498643631"/>
      <w:bookmarkStart w:id="17" w:name="_Toc498643804"/>
      <w:bookmarkStart w:id="18" w:name="_Toc498643965"/>
      <w:r w:rsidRPr="00B40494">
        <w:t>At least one PDB value expressing tighter</w:t>
      </w:r>
      <w:r w:rsidR="00521833" w:rsidRPr="00B40494">
        <w:t xml:space="preserve"> lat</w:t>
      </w:r>
      <w:r w:rsidRPr="00B40494">
        <w:t>e</w:t>
      </w:r>
      <w:r w:rsidR="00521833" w:rsidRPr="00B40494">
        <w:t>ncy requirements shall be added to the set of standardized QCI(s) for URLLC.</w:t>
      </w:r>
      <w:bookmarkEnd w:id="16"/>
      <w:bookmarkEnd w:id="17"/>
      <w:bookmarkEnd w:id="18"/>
    </w:p>
    <w:p w14:paraId="0EBF2C45" w14:textId="77777777" w:rsidR="005D2BEA" w:rsidRDefault="001F6591" w:rsidP="004C5B71">
      <w:pPr>
        <w:pStyle w:val="Heading3"/>
      </w:pPr>
      <w:r>
        <w:t>Max burst size</w:t>
      </w:r>
      <w:r w:rsidR="00CF3725">
        <w:t xml:space="preserve"> </w:t>
      </w:r>
    </w:p>
    <w:p w14:paraId="5712117B" w14:textId="77777777" w:rsidR="00C11DA7" w:rsidRDefault="001F6591" w:rsidP="005D2BEA">
      <w:r>
        <w:t xml:space="preserve">In the LS it is proposed that packet sizes and burst sizes should be learned in RAN. That could be used for admission control at HO, and load estimations in the cell. However, for initial access, RAN will need to know what amount of data it is expected to transmit within </w:t>
      </w:r>
      <w:r w:rsidR="002668F1">
        <w:t>the delay requirement</w:t>
      </w:r>
      <w:r>
        <w:t xml:space="preserve"> in order to decide if the service can be supported. </w:t>
      </w:r>
      <w:r w:rsidR="00C11DA7">
        <w:t>Also, the largest packets might only be transmitted very infrequently, but be cr</w:t>
      </w:r>
      <w:r w:rsidR="002668F1">
        <w:t>itical, so it</w:t>
      </w:r>
      <w:r w:rsidR="00C11DA7">
        <w:t xml:space="preserve"> is essential that the application can have guarantees that there is sufficient coverage to transmit large packets within the delay requirement, even if they are not frequent.</w:t>
      </w:r>
    </w:p>
    <w:p w14:paraId="6B358149" w14:textId="77777777" w:rsidR="00C11DA7" w:rsidRDefault="00C11DA7" w:rsidP="005D2BEA">
      <w:bookmarkStart w:id="19" w:name="_Hlk498572012"/>
    </w:p>
    <w:p w14:paraId="7EADB30B" w14:textId="77777777" w:rsidR="00C11DA7" w:rsidRPr="00152D8A" w:rsidRDefault="00C11DA7" w:rsidP="006F6B63">
      <w:pPr>
        <w:pStyle w:val="Observation"/>
      </w:pPr>
      <w:bookmarkStart w:id="20" w:name="_Toc498609589"/>
      <w:bookmarkStart w:id="21" w:name="_Toc498643567"/>
      <w:bookmarkStart w:id="22" w:name="_Toc498643628"/>
      <w:bookmarkStart w:id="23" w:name="_Toc498643801"/>
      <w:bookmarkStart w:id="24" w:name="_Toc498643971"/>
      <w:r w:rsidRPr="006F6B63">
        <w:t xml:space="preserve">Learned packet sizes or burst sizes are not sufficient to ensure that a service have sufficient coverage to transmit </w:t>
      </w:r>
      <w:r w:rsidR="005B22A9" w:rsidRPr="00152D8A">
        <w:t xml:space="preserve">critical </w:t>
      </w:r>
      <w:r w:rsidRPr="00152D8A">
        <w:t>application data within the delay requirement.</w:t>
      </w:r>
      <w:bookmarkEnd w:id="20"/>
      <w:bookmarkEnd w:id="21"/>
      <w:bookmarkEnd w:id="22"/>
      <w:bookmarkEnd w:id="23"/>
      <w:bookmarkEnd w:id="24"/>
      <w:r w:rsidRPr="00152D8A">
        <w:t xml:space="preserve"> </w:t>
      </w:r>
      <w:bookmarkEnd w:id="19"/>
    </w:p>
    <w:p w14:paraId="68BAB1FE" w14:textId="0A06D50D" w:rsidR="008971CB" w:rsidRDefault="002668F1" w:rsidP="005D2BEA">
      <w:r>
        <w:t xml:space="preserve">To </w:t>
      </w:r>
      <w:r w:rsidR="00AE4CD7">
        <w:t>specify what amount of data the application can expect to be transmitted within the delay requirement, maximum burst sizes can be specified</w:t>
      </w:r>
      <w:r w:rsidR="001F6591">
        <w:t xml:space="preserve"> for the GBR U</w:t>
      </w:r>
      <w:r w:rsidR="00152D8A">
        <w:t>R</w:t>
      </w:r>
      <w:r w:rsidR="001F6591">
        <w:t xml:space="preserve">LLC QCI’s. </w:t>
      </w:r>
    </w:p>
    <w:p w14:paraId="5D4B46FF" w14:textId="77777777" w:rsidR="002668F1" w:rsidRDefault="002668F1" w:rsidP="005D2BEA"/>
    <w:p w14:paraId="2BEF89CB" w14:textId="2340C89B" w:rsidR="00B142E2" w:rsidRPr="00B142E2" w:rsidRDefault="00C11DA7" w:rsidP="00FC153A">
      <w:pPr>
        <w:pStyle w:val="Proposal"/>
      </w:pPr>
      <w:bookmarkStart w:id="25" w:name="_Toc498643632"/>
      <w:bookmarkStart w:id="26" w:name="_Toc498643805"/>
      <w:bookmarkStart w:id="27" w:name="_Toc498643966"/>
      <w:r>
        <w:t>For the GBR QCI’s for U</w:t>
      </w:r>
      <w:r w:rsidR="00152D8A">
        <w:t>R</w:t>
      </w:r>
      <w:r>
        <w:t xml:space="preserve">LLC, a maximum burst size is defined. </w:t>
      </w:r>
      <w:r w:rsidR="00E14CF5">
        <w:t xml:space="preserve">It defines the largest amount of data that </w:t>
      </w:r>
      <w:r w:rsidR="005B22A9">
        <w:t xml:space="preserve">the application can expect to be </w:t>
      </w:r>
      <w:r w:rsidR="00E14CF5">
        <w:t>transmit</w:t>
      </w:r>
      <w:r w:rsidR="005B22A9">
        <w:t>ted</w:t>
      </w:r>
      <w:r w:rsidR="00E14CF5">
        <w:t xml:space="preserve"> within the delay requirement.</w:t>
      </w:r>
      <w:bookmarkEnd w:id="25"/>
      <w:bookmarkEnd w:id="26"/>
      <w:bookmarkEnd w:id="27"/>
    </w:p>
    <w:p w14:paraId="1F85EC77" w14:textId="77777777" w:rsidR="001F6591" w:rsidRDefault="001F6591" w:rsidP="001F6591">
      <w:pPr>
        <w:pStyle w:val="Heading3"/>
      </w:pPr>
      <w:r>
        <w:t>Non-GBR bearers</w:t>
      </w:r>
    </w:p>
    <w:p w14:paraId="6FCD6227" w14:textId="44F5236D" w:rsidR="001F6591" w:rsidRDefault="001F6591" w:rsidP="001F6591">
      <w:r>
        <w:t xml:space="preserve">In the </w:t>
      </w:r>
      <w:r w:rsidR="00373768">
        <w:t xml:space="preserve">SA2 </w:t>
      </w:r>
      <w:r>
        <w:t xml:space="preserve">LS </w:t>
      </w:r>
      <w:r w:rsidR="00152D8A">
        <w:t>[</w:t>
      </w:r>
      <w:r>
        <w:t xml:space="preserve"> non-GBR bearers are proposed for U</w:t>
      </w:r>
      <w:r w:rsidR="00152D8A">
        <w:t>R</w:t>
      </w:r>
      <w:r>
        <w:t xml:space="preserve">LLC. This could be useful for over-the-top services that require low latency, but is not prioritized by the operator. I.e the augmented reality use case in the LS, </w:t>
      </w:r>
    </w:p>
    <w:p w14:paraId="353B529A" w14:textId="15C86B66" w:rsidR="001F6591" w:rsidRDefault="001F6591" w:rsidP="001F6591">
      <w:r>
        <w:t xml:space="preserve">However, in the LS, it is also proposed that non-GBR bearers should be used for the discrete automation use case which is prioritized and have tight requirements. In the </w:t>
      </w:r>
      <w:r w:rsidR="001456CF">
        <w:t>proposal,</w:t>
      </w:r>
      <w:r>
        <w:t xml:space="preserve"> a burst size and interarrival rate is given, which corresponds to a maximum bitrate. This implies that the bearers are similar to GBR bearers, but with hard coded GBR. </w:t>
      </w:r>
    </w:p>
    <w:p w14:paraId="3FDCAF18" w14:textId="77777777" w:rsidR="001F6591" w:rsidRDefault="001F6591" w:rsidP="001F6591">
      <w:r>
        <w:t>We think it is better to use real GBR bearers for this use case, and we propose that two bearers with different maximum burst sizes should be available, since the large packet options might not be supported in all cells.</w:t>
      </w:r>
    </w:p>
    <w:p w14:paraId="1035FAB2" w14:textId="77777777" w:rsidR="000A7407" w:rsidRDefault="000A7407" w:rsidP="000A7407">
      <w:pPr>
        <w:pStyle w:val="BodyText"/>
      </w:pPr>
    </w:p>
    <w:p w14:paraId="01DF4361" w14:textId="77777777" w:rsidR="000F15BF" w:rsidRPr="005B3B3E" w:rsidRDefault="000A7407" w:rsidP="006F6B63">
      <w:pPr>
        <w:pStyle w:val="Observation"/>
      </w:pPr>
      <w:bookmarkStart w:id="28" w:name="_Toc498609590"/>
      <w:bookmarkStart w:id="29" w:name="_Toc498643568"/>
      <w:bookmarkStart w:id="30" w:name="_Toc498643629"/>
      <w:bookmarkStart w:id="31" w:name="_Toc498643802"/>
      <w:bookmarkStart w:id="32" w:name="_Toc498643972"/>
      <w:r w:rsidRPr="006F6B63">
        <w:t>For prioritized services with tight requirements, GBR bearers are better suited than non-GBR.</w:t>
      </w:r>
      <w:bookmarkEnd w:id="28"/>
      <w:bookmarkEnd w:id="29"/>
      <w:bookmarkEnd w:id="30"/>
      <w:bookmarkEnd w:id="31"/>
      <w:bookmarkEnd w:id="32"/>
    </w:p>
    <w:p w14:paraId="6D288301" w14:textId="0890AC36" w:rsidR="00AB0DB8" w:rsidRDefault="000A7407" w:rsidP="00FC153A">
      <w:pPr>
        <w:pStyle w:val="Proposal"/>
      </w:pPr>
      <w:bookmarkStart w:id="33" w:name="_Toc498643633"/>
      <w:bookmarkStart w:id="34" w:name="_Toc498643806"/>
      <w:bookmarkStart w:id="35" w:name="_Toc498643967"/>
      <w:r>
        <w:t>GBR QCI’s are defined for the discrete automation use case.</w:t>
      </w:r>
      <w:bookmarkEnd w:id="33"/>
      <w:bookmarkEnd w:id="34"/>
      <w:bookmarkEnd w:id="35"/>
      <w:r w:rsidR="00AB0DB8">
        <w:t xml:space="preserve"> </w:t>
      </w:r>
    </w:p>
    <w:p w14:paraId="4636A1FF" w14:textId="77777777" w:rsidR="001F6591" w:rsidRDefault="001F6591" w:rsidP="001F6591"/>
    <w:p w14:paraId="38F17BF1" w14:textId="77777777" w:rsidR="001F6591" w:rsidRDefault="001F6591" w:rsidP="001F6591">
      <w:pPr>
        <w:pStyle w:val="Heading3"/>
      </w:pPr>
      <w:r>
        <w:t>Proposed QCI’s</w:t>
      </w:r>
    </w:p>
    <w:p w14:paraId="232CB142" w14:textId="77777777" w:rsidR="001F6591" w:rsidRPr="005D2BEA" w:rsidRDefault="001F6591" w:rsidP="005D2BEA"/>
    <w:p w14:paraId="0498E940" w14:textId="0E59971A" w:rsidR="00623D9D" w:rsidRDefault="00171A8A" w:rsidP="00623D9D">
      <w:pPr>
        <w:pStyle w:val="BodyText"/>
      </w:pPr>
      <w:r>
        <w:t>Re-using the format for describing the standardized QCI(s) in the SA2 LS</w:t>
      </w:r>
      <w:r w:rsidR="00FC153A">
        <w:t>, the proposed QCIs are</w:t>
      </w:r>
      <w:bookmarkStart w:id="36" w:name="_GoBack"/>
      <w:bookmarkEnd w:id="36"/>
      <w:r>
        <w:t>:</w:t>
      </w:r>
    </w:p>
    <w:p w14:paraId="0546A217" w14:textId="1926A649" w:rsidR="00226242" w:rsidRDefault="00226242" w:rsidP="00FC153A">
      <w:pPr>
        <w:pStyle w:val="Caption"/>
      </w:pPr>
    </w:p>
    <w:tbl>
      <w:tblPr>
        <w:tblW w:w="10707" w:type="dxa"/>
        <w:tblInd w:w="-1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582"/>
        <w:gridCol w:w="894"/>
        <w:gridCol w:w="596"/>
        <w:gridCol w:w="2183"/>
        <w:gridCol w:w="1999"/>
        <w:gridCol w:w="2535"/>
        <w:gridCol w:w="1918"/>
      </w:tblGrid>
      <w:tr w:rsidR="000761A4" w14:paraId="226E9FE7" w14:textId="77777777" w:rsidTr="00FC153A">
        <w:trPr>
          <w:trHeight w:val="408"/>
        </w:trPr>
        <w:tc>
          <w:tcPr>
            <w:tcW w:w="582" w:type="dxa"/>
            <w:tcBorders>
              <w:top w:val="single" w:sz="12" w:space="0" w:color="auto"/>
              <w:left w:val="single" w:sz="12" w:space="0" w:color="auto"/>
              <w:bottom w:val="single" w:sz="12" w:space="0" w:color="auto"/>
              <w:right w:val="single" w:sz="12" w:space="0" w:color="auto"/>
            </w:tcBorders>
            <w:hideMark/>
          </w:tcPr>
          <w:p w14:paraId="1AB008F5" w14:textId="77777777" w:rsidR="000761A4" w:rsidRDefault="000761A4">
            <w:pPr>
              <w:pStyle w:val="TAC"/>
              <w:jc w:val="both"/>
              <w:rPr>
                <w:rFonts w:asciiTheme="minorHAnsi" w:hAnsiTheme="minorHAnsi" w:cs="Arial"/>
                <w:color w:val="000000"/>
                <w:sz w:val="20"/>
                <w:lang w:val="en-US"/>
              </w:rPr>
            </w:pPr>
            <w:bookmarkStart w:id="37" w:name="_Hlk498643229"/>
            <w:r>
              <w:rPr>
                <w:rFonts w:cs="Arial"/>
                <w:color w:val="000000"/>
                <w:sz w:val="20"/>
                <w:lang w:val="en-US"/>
              </w:rPr>
              <w:lastRenderedPageBreak/>
              <w:t>QCI value</w:t>
            </w:r>
          </w:p>
        </w:tc>
        <w:tc>
          <w:tcPr>
            <w:tcW w:w="894" w:type="dxa"/>
            <w:tcBorders>
              <w:top w:val="single" w:sz="12" w:space="0" w:color="auto"/>
              <w:left w:val="single" w:sz="12" w:space="0" w:color="auto"/>
              <w:bottom w:val="single" w:sz="12" w:space="0" w:color="auto"/>
              <w:right w:val="single" w:sz="12" w:space="0" w:color="auto"/>
            </w:tcBorders>
            <w:hideMark/>
          </w:tcPr>
          <w:p w14:paraId="6E545EEA" w14:textId="77777777" w:rsidR="000761A4" w:rsidRDefault="000761A4">
            <w:pPr>
              <w:pStyle w:val="TAC"/>
              <w:rPr>
                <w:rFonts w:cs="Arial"/>
                <w:color w:val="000000"/>
                <w:sz w:val="20"/>
                <w:lang w:val="en-US"/>
              </w:rPr>
            </w:pPr>
            <w:r>
              <w:rPr>
                <w:rFonts w:cs="Arial"/>
                <w:color w:val="000000"/>
                <w:sz w:val="20"/>
                <w:lang w:val="en-US"/>
              </w:rPr>
              <w:t>Resource Type</w:t>
            </w:r>
          </w:p>
        </w:tc>
        <w:tc>
          <w:tcPr>
            <w:tcW w:w="596" w:type="dxa"/>
            <w:tcBorders>
              <w:top w:val="single" w:sz="12" w:space="0" w:color="auto"/>
              <w:left w:val="single" w:sz="12" w:space="0" w:color="auto"/>
              <w:bottom w:val="single" w:sz="12" w:space="0" w:color="auto"/>
              <w:right w:val="single" w:sz="12" w:space="0" w:color="auto"/>
            </w:tcBorders>
            <w:hideMark/>
          </w:tcPr>
          <w:p w14:paraId="35CA34E3" w14:textId="77777777" w:rsidR="000761A4" w:rsidRDefault="000761A4">
            <w:pPr>
              <w:pStyle w:val="TAC"/>
              <w:rPr>
                <w:rFonts w:cs="Arial"/>
                <w:color w:val="000000"/>
                <w:sz w:val="20"/>
                <w:lang w:val="en-US"/>
              </w:rPr>
            </w:pPr>
            <w:r>
              <w:rPr>
                <w:rFonts w:cs="Arial"/>
                <w:color w:val="000000"/>
                <w:sz w:val="20"/>
                <w:lang w:val="en-US"/>
              </w:rPr>
              <w:t>Priority Level</w:t>
            </w:r>
          </w:p>
        </w:tc>
        <w:tc>
          <w:tcPr>
            <w:tcW w:w="2183" w:type="dxa"/>
            <w:tcBorders>
              <w:top w:val="single" w:sz="12" w:space="0" w:color="auto"/>
              <w:left w:val="single" w:sz="12" w:space="0" w:color="auto"/>
              <w:bottom w:val="single" w:sz="12" w:space="0" w:color="auto"/>
              <w:right w:val="single" w:sz="12" w:space="0" w:color="auto"/>
            </w:tcBorders>
            <w:hideMark/>
          </w:tcPr>
          <w:p w14:paraId="295BC84D" w14:textId="77777777" w:rsidR="000761A4" w:rsidRDefault="000761A4">
            <w:pPr>
              <w:pStyle w:val="TAC"/>
              <w:rPr>
                <w:rFonts w:cs="Arial"/>
                <w:color w:val="000000"/>
                <w:sz w:val="20"/>
                <w:lang w:val="en-US"/>
              </w:rPr>
            </w:pPr>
            <w:r>
              <w:rPr>
                <w:rFonts w:cs="Arial"/>
                <w:color w:val="000000"/>
                <w:sz w:val="20"/>
                <w:lang w:val="en-US"/>
              </w:rPr>
              <w:t xml:space="preserve">One way PDB between SGi and UE application </w:t>
            </w:r>
          </w:p>
        </w:tc>
        <w:tc>
          <w:tcPr>
            <w:tcW w:w="1999" w:type="dxa"/>
            <w:tcBorders>
              <w:top w:val="single" w:sz="12" w:space="0" w:color="auto"/>
              <w:left w:val="single" w:sz="12" w:space="0" w:color="auto"/>
              <w:bottom w:val="single" w:sz="12" w:space="0" w:color="auto"/>
              <w:right w:val="single" w:sz="12" w:space="0" w:color="auto"/>
            </w:tcBorders>
            <w:hideMark/>
          </w:tcPr>
          <w:p w14:paraId="411FF1A9" w14:textId="77777777" w:rsidR="000761A4" w:rsidRDefault="000761A4">
            <w:pPr>
              <w:pStyle w:val="TAC"/>
              <w:jc w:val="both"/>
              <w:rPr>
                <w:rFonts w:cs="Arial"/>
                <w:color w:val="000000"/>
                <w:sz w:val="20"/>
                <w:lang w:val="en-US"/>
              </w:rPr>
            </w:pPr>
            <w:r>
              <w:rPr>
                <w:rFonts w:cs="Arial"/>
                <w:color w:val="000000"/>
                <w:sz w:val="20"/>
                <w:lang w:val="en-US"/>
              </w:rPr>
              <w:t>Proportion of unsuccessful packets</w:t>
            </w:r>
          </w:p>
        </w:tc>
        <w:tc>
          <w:tcPr>
            <w:tcW w:w="2535" w:type="dxa"/>
            <w:tcBorders>
              <w:top w:val="single" w:sz="12" w:space="0" w:color="auto"/>
              <w:left w:val="single" w:sz="12" w:space="0" w:color="auto"/>
              <w:bottom w:val="single" w:sz="12" w:space="0" w:color="auto"/>
              <w:right w:val="single" w:sz="12" w:space="0" w:color="auto"/>
            </w:tcBorders>
            <w:hideMark/>
          </w:tcPr>
          <w:p w14:paraId="0186C960" w14:textId="77777777" w:rsidR="000761A4" w:rsidRDefault="000761A4">
            <w:pPr>
              <w:pStyle w:val="TAL"/>
              <w:rPr>
                <w:rFonts w:cs="Arial"/>
                <w:color w:val="000000"/>
                <w:sz w:val="20"/>
                <w:lang w:val="en-US"/>
              </w:rPr>
            </w:pPr>
            <w:r>
              <w:rPr>
                <w:rFonts w:cs="Arial"/>
                <w:color w:val="000000"/>
                <w:sz w:val="20"/>
                <w:lang w:val="en-US"/>
              </w:rPr>
              <w:t xml:space="preserve"> Attributes / factors</w:t>
            </w:r>
          </w:p>
        </w:tc>
        <w:tc>
          <w:tcPr>
            <w:tcW w:w="1918" w:type="dxa"/>
            <w:tcBorders>
              <w:top w:val="single" w:sz="12" w:space="0" w:color="auto"/>
              <w:left w:val="single" w:sz="12" w:space="0" w:color="auto"/>
              <w:bottom w:val="single" w:sz="12" w:space="0" w:color="auto"/>
              <w:right w:val="single" w:sz="12" w:space="0" w:color="auto"/>
            </w:tcBorders>
            <w:hideMark/>
          </w:tcPr>
          <w:p w14:paraId="2AE80759" w14:textId="77777777" w:rsidR="000761A4" w:rsidRDefault="000761A4">
            <w:pPr>
              <w:pStyle w:val="TAL"/>
              <w:rPr>
                <w:rFonts w:cs="Arial"/>
                <w:color w:val="000000"/>
                <w:sz w:val="20"/>
                <w:lang w:val="en-US"/>
              </w:rPr>
            </w:pPr>
            <w:r>
              <w:rPr>
                <w:rFonts w:cs="Arial"/>
                <w:color w:val="000000"/>
                <w:sz w:val="20"/>
                <w:lang w:val="en-US"/>
              </w:rPr>
              <w:t>Example services</w:t>
            </w:r>
          </w:p>
        </w:tc>
      </w:tr>
      <w:tr w:rsidR="000761A4" w14:paraId="6B1B58C7" w14:textId="77777777" w:rsidTr="00FC153A">
        <w:trPr>
          <w:trHeight w:val="1225"/>
        </w:trPr>
        <w:tc>
          <w:tcPr>
            <w:tcW w:w="582" w:type="dxa"/>
            <w:tcBorders>
              <w:top w:val="single" w:sz="12" w:space="0" w:color="auto"/>
              <w:left w:val="single" w:sz="12" w:space="0" w:color="auto"/>
              <w:bottom w:val="single" w:sz="12" w:space="0" w:color="auto"/>
              <w:right w:val="single" w:sz="12" w:space="0" w:color="auto"/>
            </w:tcBorders>
            <w:hideMark/>
          </w:tcPr>
          <w:p w14:paraId="08F9133C" w14:textId="77777777" w:rsidR="000761A4" w:rsidRPr="00FC153A" w:rsidRDefault="000761A4">
            <w:pPr>
              <w:pStyle w:val="TAC"/>
              <w:rPr>
                <w:rFonts w:cs="Arial"/>
                <w:color w:val="000000" w:themeColor="text1"/>
                <w:sz w:val="16"/>
                <w:highlight w:val="yellow"/>
                <w:lang w:val="en-US"/>
              </w:rPr>
            </w:pPr>
            <w:r w:rsidRPr="00FC153A">
              <w:rPr>
                <w:rFonts w:cs="Arial"/>
                <w:color w:val="000000" w:themeColor="text1"/>
                <w:sz w:val="16"/>
                <w:highlight w:val="yellow"/>
                <w:lang w:val="en-US"/>
              </w:rPr>
              <w:t>N</w:t>
            </w:r>
          </w:p>
        </w:tc>
        <w:tc>
          <w:tcPr>
            <w:tcW w:w="894" w:type="dxa"/>
            <w:tcBorders>
              <w:top w:val="single" w:sz="12" w:space="0" w:color="auto"/>
              <w:left w:val="single" w:sz="12" w:space="0" w:color="auto"/>
              <w:bottom w:val="single" w:sz="12" w:space="0" w:color="auto"/>
              <w:right w:val="single" w:sz="12" w:space="0" w:color="auto"/>
            </w:tcBorders>
            <w:hideMark/>
          </w:tcPr>
          <w:p w14:paraId="5663AA5E" w14:textId="77777777" w:rsidR="000761A4" w:rsidRPr="000761A4" w:rsidRDefault="000761A4">
            <w:pPr>
              <w:pStyle w:val="TAC"/>
              <w:rPr>
                <w:rFonts w:cs="Arial"/>
                <w:color w:val="000000"/>
                <w:sz w:val="20"/>
                <w:highlight w:val="yellow"/>
                <w:lang w:val="en-US"/>
              </w:rPr>
            </w:pPr>
            <w:r w:rsidRPr="000761A4">
              <w:rPr>
                <w:rFonts w:cs="Arial"/>
                <w:color w:val="000000"/>
                <w:sz w:val="20"/>
                <w:highlight w:val="yellow"/>
                <w:lang w:val="en-US"/>
              </w:rPr>
              <w:t>GBR</w:t>
            </w:r>
          </w:p>
        </w:tc>
        <w:tc>
          <w:tcPr>
            <w:tcW w:w="596" w:type="dxa"/>
            <w:tcBorders>
              <w:top w:val="single" w:sz="12" w:space="0" w:color="auto"/>
              <w:left w:val="single" w:sz="12" w:space="0" w:color="auto"/>
              <w:bottom w:val="single" w:sz="12" w:space="0" w:color="auto"/>
              <w:right w:val="single" w:sz="12" w:space="0" w:color="auto"/>
            </w:tcBorders>
            <w:hideMark/>
          </w:tcPr>
          <w:p w14:paraId="488BB7DE" w14:textId="77777777" w:rsidR="000761A4" w:rsidRPr="000761A4" w:rsidRDefault="000761A4">
            <w:pPr>
              <w:pStyle w:val="TAC"/>
              <w:rPr>
                <w:rFonts w:cs="Arial"/>
                <w:color w:val="000000"/>
                <w:sz w:val="20"/>
                <w:highlight w:val="yellow"/>
                <w:lang w:val="en-US"/>
              </w:rPr>
            </w:pPr>
            <w:r w:rsidRPr="000761A4">
              <w:rPr>
                <w:rFonts w:cs="Arial"/>
                <w:color w:val="000000"/>
                <w:sz w:val="20"/>
                <w:highlight w:val="yellow"/>
                <w:lang w:val="en-US"/>
              </w:rPr>
              <w:t>2</w:t>
            </w:r>
          </w:p>
        </w:tc>
        <w:tc>
          <w:tcPr>
            <w:tcW w:w="2183" w:type="dxa"/>
            <w:tcBorders>
              <w:top w:val="single" w:sz="12" w:space="0" w:color="auto"/>
              <w:left w:val="single" w:sz="12" w:space="0" w:color="auto"/>
              <w:bottom w:val="single" w:sz="12" w:space="0" w:color="auto"/>
              <w:right w:val="single" w:sz="12" w:space="0" w:color="auto"/>
            </w:tcBorders>
          </w:tcPr>
          <w:p w14:paraId="3319AE65" w14:textId="77777777" w:rsidR="000761A4" w:rsidRPr="000761A4" w:rsidRDefault="008F4F6E">
            <w:pPr>
              <w:pStyle w:val="TAC"/>
              <w:rPr>
                <w:rFonts w:cs="Arial"/>
                <w:color w:val="000000"/>
                <w:sz w:val="20"/>
                <w:highlight w:val="yellow"/>
                <w:lang w:val="en-US"/>
              </w:rPr>
            </w:pPr>
            <w:r>
              <w:rPr>
                <w:rFonts w:cs="Arial"/>
                <w:color w:val="000000"/>
                <w:sz w:val="20"/>
                <w:highlight w:val="yellow"/>
                <w:lang w:val="en-US"/>
              </w:rPr>
              <w:t>3</w:t>
            </w:r>
            <w:r w:rsidR="000761A4" w:rsidRPr="000761A4">
              <w:rPr>
                <w:rFonts w:cs="Arial"/>
                <w:color w:val="000000"/>
                <w:sz w:val="20"/>
                <w:highlight w:val="yellow"/>
                <w:lang w:val="en-US"/>
              </w:rPr>
              <w:t xml:space="preserve"> ms</w:t>
            </w:r>
          </w:p>
          <w:p w14:paraId="7B441DFF" w14:textId="77777777" w:rsidR="000761A4" w:rsidRPr="000761A4" w:rsidRDefault="000761A4">
            <w:pPr>
              <w:pStyle w:val="TAC"/>
              <w:rPr>
                <w:rFonts w:cs="Arial"/>
                <w:color w:val="000000"/>
                <w:sz w:val="20"/>
                <w:highlight w:val="yellow"/>
                <w:lang w:val="en-US"/>
              </w:rPr>
            </w:pPr>
          </w:p>
          <w:p w14:paraId="7F3FC083" w14:textId="77777777" w:rsidR="000761A4" w:rsidRPr="000761A4" w:rsidRDefault="000761A4">
            <w:pPr>
              <w:pStyle w:val="TAC"/>
              <w:rPr>
                <w:rFonts w:cs="Arial"/>
                <w:color w:val="000000"/>
                <w:sz w:val="20"/>
                <w:highlight w:val="yellow"/>
                <w:lang w:val="en-US"/>
              </w:rPr>
            </w:pPr>
            <w:r w:rsidRPr="000761A4">
              <w:rPr>
                <w:rFonts w:cs="Arial"/>
                <w:color w:val="000000"/>
                <w:sz w:val="20"/>
                <w:highlight w:val="yellow"/>
                <w:lang w:val="en-US"/>
              </w:rPr>
              <w:t>Assumes 1ms from SGi to eNB physical layer</w:t>
            </w:r>
          </w:p>
          <w:p w14:paraId="4BC94B9D" w14:textId="77777777" w:rsidR="000761A4" w:rsidRPr="000761A4" w:rsidRDefault="000761A4">
            <w:pPr>
              <w:pStyle w:val="TAC"/>
              <w:rPr>
                <w:rFonts w:cs="Arial"/>
                <w:color w:val="000000"/>
                <w:sz w:val="20"/>
                <w:highlight w:val="yellow"/>
                <w:lang w:val="en-US"/>
              </w:rPr>
            </w:pPr>
          </w:p>
          <w:p w14:paraId="0466A0C7" w14:textId="77777777" w:rsidR="000761A4" w:rsidRPr="000761A4" w:rsidRDefault="000761A4">
            <w:pPr>
              <w:pStyle w:val="TAC"/>
              <w:rPr>
                <w:rFonts w:cs="Arial"/>
                <w:color w:val="000000"/>
                <w:sz w:val="20"/>
                <w:highlight w:val="yellow"/>
                <w:lang w:val="en-US"/>
              </w:rPr>
            </w:pPr>
            <w:r w:rsidRPr="000761A4">
              <w:rPr>
                <w:rFonts w:cs="Arial"/>
                <w:color w:val="000000"/>
                <w:sz w:val="20"/>
                <w:highlight w:val="yellow"/>
                <w:lang w:val="en-US"/>
              </w:rPr>
              <w:t xml:space="preserve"> </w:t>
            </w:r>
          </w:p>
        </w:tc>
        <w:tc>
          <w:tcPr>
            <w:tcW w:w="1999" w:type="dxa"/>
            <w:tcBorders>
              <w:top w:val="single" w:sz="12" w:space="0" w:color="auto"/>
              <w:left w:val="single" w:sz="12" w:space="0" w:color="auto"/>
              <w:bottom w:val="single" w:sz="12" w:space="0" w:color="auto"/>
              <w:right w:val="single" w:sz="12" w:space="0" w:color="auto"/>
            </w:tcBorders>
            <w:hideMark/>
          </w:tcPr>
          <w:p w14:paraId="7032A47E" w14:textId="77777777" w:rsidR="005D2BEA" w:rsidRDefault="005D2BEA" w:rsidP="005D2BEA">
            <w:pPr>
              <w:jc w:val="center"/>
              <w:rPr>
                <w:rFonts w:cs="Arial"/>
                <w:color w:val="000000"/>
                <w:sz w:val="22"/>
                <w:lang w:val="en-US"/>
              </w:rPr>
            </w:pPr>
            <w:r>
              <w:rPr>
                <w:rFonts w:cs="Arial"/>
                <w:color w:val="000000"/>
                <w:lang w:val="en-US"/>
              </w:rPr>
              <w:t>10</w:t>
            </w:r>
            <w:r>
              <w:rPr>
                <w:rFonts w:cs="Arial"/>
                <w:color w:val="000000"/>
                <w:vertAlign w:val="superscript"/>
                <w:lang w:val="en-US"/>
              </w:rPr>
              <w:t>-4</w:t>
            </w:r>
          </w:p>
          <w:p w14:paraId="61DD6A6F" w14:textId="77777777" w:rsidR="005D2BEA" w:rsidRDefault="005D2BEA" w:rsidP="005D2BEA">
            <w:pPr>
              <w:rPr>
                <w:rFonts w:cs="Arial"/>
                <w:color w:val="000000"/>
                <w:vertAlign w:val="superscript"/>
                <w:lang w:val="en-US"/>
              </w:rPr>
            </w:pPr>
            <w:r>
              <w:rPr>
                <w:rFonts w:cs="Arial"/>
                <w:color w:val="000000"/>
                <w:lang w:val="en-US"/>
              </w:rPr>
              <w:t xml:space="preserve">Including delayed packets </w:t>
            </w:r>
          </w:p>
          <w:p w14:paraId="06491D7D" w14:textId="77777777" w:rsidR="000761A4" w:rsidRPr="000761A4" w:rsidRDefault="005D2BEA" w:rsidP="005D2BEA">
            <w:pPr>
              <w:rPr>
                <w:rFonts w:cs="Arial"/>
                <w:color w:val="000000"/>
                <w:highlight w:val="yellow"/>
                <w:lang w:val="en-US"/>
              </w:rPr>
            </w:pPr>
            <w:r>
              <w:rPr>
                <w:rFonts w:cs="Arial"/>
                <w:color w:val="000000"/>
                <w:lang w:val="en-US"/>
              </w:rPr>
              <w:t>As with normal GBR traffic, data above GBR is best effort</w:t>
            </w:r>
          </w:p>
        </w:tc>
        <w:tc>
          <w:tcPr>
            <w:tcW w:w="2535" w:type="dxa"/>
            <w:tcBorders>
              <w:top w:val="single" w:sz="12" w:space="0" w:color="auto"/>
              <w:left w:val="single" w:sz="12" w:space="0" w:color="auto"/>
              <w:bottom w:val="single" w:sz="12" w:space="0" w:color="auto"/>
              <w:right w:val="single" w:sz="12" w:space="0" w:color="auto"/>
            </w:tcBorders>
          </w:tcPr>
          <w:p w14:paraId="3DFCECDF" w14:textId="77777777" w:rsidR="000761A4" w:rsidRDefault="00A05C6A">
            <w:pPr>
              <w:pStyle w:val="TAL"/>
              <w:rPr>
                <w:rFonts w:cs="Arial"/>
                <w:color w:val="000000"/>
                <w:sz w:val="20"/>
                <w:highlight w:val="yellow"/>
                <w:lang w:val="en-US"/>
              </w:rPr>
            </w:pPr>
            <w:r>
              <w:rPr>
                <w:rFonts w:cs="Arial"/>
                <w:color w:val="000000"/>
                <w:sz w:val="20"/>
                <w:highlight w:val="yellow"/>
                <w:lang w:val="en-US"/>
              </w:rPr>
              <w:t>Averaging window=20 ms</w:t>
            </w:r>
          </w:p>
          <w:p w14:paraId="2B180426" w14:textId="77777777" w:rsidR="00A05C6A" w:rsidRPr="000761A4" w:rsidRDefault="00A05C6A">
            <w:pPr>
              <w:pStyle w:val="TAL"/>
              <w:rPr>
                <w:rFonts w:cs="Arial"/>
                <w:color w:val="000000"/>
                <w:sz w:val="20"/>
                <w:highlight w:val="yellow"/>
                <w:lang w:val="en-US"/>
              </w:rPr>
            </w:pPr>
            <w:r>
              <w:rPr>
                <w:rFonts w:cs="Arial"/>
                <w:color w:val="000000"/>
                <w:sz w:val="20"/>
                <w:highlight w:val="yellow"/>
                <w:lang w:val="en-US"/>
              </w:rPr>
              <w:t>Max burst size = 32 bytes</w:t>
            </w:r>
          </w:p>
        </w:tc>
        <w:tc>
          <w:tcPr>
            <w:tcW w:w="1918" w:type="dxa"/>
            <w:tcBorders>
              <w:top w:val="single" w:sz="12" w:space="0" w:color="auto"/>
              <w:left w:val="single" w:sz="12" w:space="0" w:color="auto"/>
              <w:bottom w:val="single" w:sz="12" w:space="0" w:color="auto"/>
              <w:right w:val="single" w:sz="12" w:space="0" w:color="auto"/>
            </w:tcBorders>
          </w:tcPr>
          <w:p w14:paraId="5363F72D" w14:textId="77777777" w:rsidR="000761A4" w:rsidRPr="000761A4" w:rsidRDefault="000761A4">
            <w:pPr>
              <w:pStyle w:val="TAL"/>
              <w:rPr>
                <w:rFonts w:cs="Arial"/>
                <w:color w:val="000000"/>
                <w:sz w:val="20"/>
                <w:highlight w:val="yellow"/>
                <w:lang w:val="en-US"/>
              </w:rPr>
            </w:pPr>
            <w:r w:rsidRPr="000761A4">
              <w:rPr>
                <w:rFonts w:cs="Arial"/>
                <w:color w:val="000000"/>
                <w:sz w:val="20"/>
                <w:highlight w:val="yellow"/>
                <w:lang w:val="en-US"/>
              </w:rPr>
              <w:t>Discrete Automation Control (TS 22.261, table 7.2.2-1, row 1.)</w:t>
            </w:r>
          </w:p>
          <w:p w14:paraId="3D0E5D3A" w14:textId="77777777" w:rsidR="000761A4" w:rsidRPr="000761A4" w:rsidRDefault="000761A4">
            <w:pPr>
              <w:pStyle w:val="TAL"/>
              <w:rPr>
                <w:rFonts w:cs="Arial"/>
                <w:color w:val="000000"/>
                <w:sz w:val="20"/>
                <w:highlight w:val="yellow"/>
                <w:lang w:val="en-US"/>
              </w:rPr>
            </w:pPr>
          </w:p>
        </w:tc>
      </w:tr>
      <w:tr w:rsidR="000761A4" w14:paraId="56ADAF16" w14:textId="77777777" w:rsidTr="00FC153A">
        <w:trPr>
          <w:trHeight w:val="1429"/>
        </w:trPr>
        <w:tc>
          <w:tcPr>
            <w:tcW w:w="582" w:type="dxa"/>
            <w:tcBorders>
              <w:top w:val="single" w:sz="12" w:space="0" w:color="auto"/>
              <w:left w:val="single" w:sz="12" w:space="0" w:color="auto"/>
              <w:bottom w:val="single" w:sz="12" w:space="0" w:color="auto"/>
              <w:right w:val="single" w:sz="12" w:space="0" w:color="auto"/>
            </w:tcBorders>
          </w:tcPr>
          <w:p w14:paraId="1329BAEA" w14:textId="77777777" w:rsidR="000761A4" w:rsidRPr="00FC153A" w:rsidRDefault="000761A4" w:rsidP="000761A4">
            <w:pPr>
              <w:pStyle w:val="TAC"/>
              <w:rPr>
                <w:rFonts w:cs="Arial"/>
                <w:color w:val="000000" w:themeColor="text1"/>
                <w:sz w:val="16"/>
                <w:lang w:val="en-US"/>
              </w:rPr>
            </w:pPr>
            <w:r w:rsidRPr="00FC153A">
              <w:rPr>
                <w:rFonts w:cs="Arial"/>
                <w:color w:val="000000" w:themeColor="text1"/>
                <w:sz w:val="16"/>
                <w:lang w:val="en-US"/>
              </w:rPr>
              <w:t>N+1</w:t>
            </w:r>
          </w:p>
        </w:tc>
        <w:tc>
          <w:tcPr>
            <w:tcW w:w="894" w:type="dxa"/>
            <w:tcBorders>
              <w:top w:val="single" w:sz="12" w:space="0" w:color="auto"/>
              <w:left w:val="single" w:sz="12" w:space="0" w:color="auto"/>
              <w:bottom w:val="single" w:sz="12" w:space="0" w:color="auto"/>
              <w:right w:val="single" w:sz="12" w:space="0" w:color="auto"/>
            </w:tcBorders>
          </w:tcPr>
          <w:p w14:paraId="42F456C9" w14:textId="77777777" w:rsidR="000761A4" w:rsidRDefault="000761A4" w:rsidP="000761A4">
            <w:pPr>
              <w:pStyle w:val="TAC"/>
              <w:rPr>
                <w:rFonts w:cs="Arial"/>
                <w:color w:val="000000"/>
                <w:sz w:val="20"/>
                <w:lang w:val="en-US"/>
              </w:rPr>
            </w:pPr>
            <w:r>
              <w:rPr>
                <w:rFonts w:cs="Arial"/>
                <w:color w:val="000000"/>
                <w:sz w:val="20"/>
                <w:lang w:val="en-US"/>
              </w:rPr>
              <w:t>GBR</w:t>
            </w:r>
          </w:p>
        </w:tc>
        <w:tc>
          <w:tcPr>
            <w:tcW w:w="596" w:type="dxa"/>
            <w:tcBorders>
              <w:top w:val="single" w:sz="12" w:space="0" w:color="auto"/>
              <w:left w:val="single" w:sz="12" w:space="0" w:color="auto"/>
              <w:bottom w:val="single" w:sz="12" w:space="0" w:color="auto"/>
              <w:right w:val="single" w:sz="12" w:space="0" w:color="auto"/>
            </w:tcBorders>
          </w:tcPr>
          <w:p w14:paraId="32B22434" w14:textId="77777777" w:rsidR="000761A4" w:rsidRDefault="000761A4" w:rsidP="000761A4">
            <w:pPr>
              <w:pStyle w:val="TAC"/>
              <w:rPr>
                <w:rFonts w:cs="Arial"/>
                <w:color w:val="000000"/>
                <w:sz w:val="20"/>
                <w:lang w:val="en-US"/>
              </w:rPr>
            </w:pPr>
            <w:r>
              <w:rPr>
                <w:rFonts w:cs="Arial"/>
                <w:color w:val="000000"/>
                <w:sz w:val="20"/>
                <w:lang w:val="en-US"/>
              </w:rPr>
              <w:t>2</w:t>
            </w:r>
          </w:p>
        </w:tc>
        <w:tc>
          <w:tcPr>
            <w:tcW w:w="2183" w:type="dxa"/>
            <w:tcBorders>
              <w:top w:val="single" w:sz="12" w:space="0" w:color="auto"/>
              <w:left w:val="single" w:sz="12" w:space="0" w:color="auto"/>
              <w:bottom w:val="single" w:sz="12" w:space="0" w:color="auto"/>
              <w:right w:val="single" w:sz="12" w:space="0" w:color="auto"/>
            </w:tcBorders>
          </w:tcPr>
          <w:p w14:paraId="7723A7CB" w14:textId="77777777" w:rsidR="000761A4" w:rsidRDefault="000761A4" w:rsidP="000761A4">
            <w:pPr>
              <w:pStyle w:val="TAC"/>
              <w:rPr>
                <w:rFonts w:cs="Arial"/>
                <w:color w:val="000000"/>
                <w:sz w:val="20"/>
                <w:lang w:val="en-US"/>
              </w:rPr>
            </w:pPr>
            <w:r>
              <w:rPr>
                <w:rFonts w:cs="Arial"/>
                <w:color w:val="000000"/>
                <w:sz w:val="20"/>
                <w:lang w:val="en-US"/>
              </w:rPr>
              <w:t>10 ms.</w:t>
            </w:r>
          </w:p>
          <w:p w14:paraId="2DE90CD6" w14:textId="77777777" w:rsidR="000761A4" w:rsidRDefault="000761A4" w:rsidP="000761A4">
            <w:pPr>
              <w:pStyle w:val="TAC"/>
              <w:rPr>
                <w:rFonts w:cs="Arial"/>
                <w:color w:val="000000"/>
                <w:sz w:val="20"/>
                <w:lang w:val="en-US"/>
              </w:rPr>
            </w:pPr>
          </w:p>
          <w:p w14:paraId="609E2B68" w14:textId="77777777" w:rsidR="000761A4" w:rsidRDefault="000761A4" w:rsidP="000761A4">
            <w:pPr>
              <w:pStyle w:val="TAC"/>
              <w:rPr>
                <w:rFonts w:cs="Arial"/>
                <w:color w:val="000000"/>
                <w:sz w:val="20"/>
                <w:lang w:val="en-US"/>
              </w:rPr>
            </w:pPr>
            <w:r>
              <w:rPr>
                <w:rFonts w:cs="Arial"/>
                <w:color w:val="000000"/>
                <w:sz w:val="20"/>
                <w:lang w:val="en-US"/>
              </w:rPr>
              <w:t>Assumes 1ms from SGi to eNB physical layer</w:t>
            </w:r>
          </w:p>
          <w:p w14:paraId="2EF4216E" w14:textId="77777777" w:rsidR="000761A4" w:rsidRDefault="000761A4" w:rsidP="000761A4">
            <w:pPr>
              <w:pStyle w:val="TAC"/>
              <w:rPr>
                <w:rFonts w:cs="Arial"/>
                <w:color w:val="000000"/>
                <w:sz w:val="20"/>
                <w:lang w:val="en-US"/>
              </w:rPr>
            </w:pPr>
          </w:p>
          <w:p w14:paraId="66B33AF9" w14:textId="77777777" w:rsidR="000761A4" w:rsidRDefault="000761A4" w:rsidP="000761A4">
            <w:pPr>
              <w:pStyle w:val="TAC"/>
              <w:rPr>
                <w:rFonts w:cs="Arial"/>
                <w:color w:val="000000"/>
                <w:sz w:val="20"/>
                <w:lang w:val="en-US"/>
              </w:rPr>
            </w:pPr>
            <w:r>
              <w:rPr>
                <w:rFonts w:cs="Arial"/>
                <w:color w:val="000000"/>
                <w:sz w:val="20"/>
                <w:lang w:val="en-US"/>
              </w:rPr>
              <w:t xml:space="preserve"> </w:t>
            </w:r>
          </w:p>
        </w:tc>
        <w:tc>
          <w:tcPr>
            <w:tcW w:w="1999" w:type="dxa"/>
            <w:tcBorders>
              <w:top w:val="single" w:sz="12" w:space="0" w:color="auto"/>
              <w:left w:val="single" w:sz="12" w:space="0" w:color="auto"/>
              <w:bottom w:val="single" w:sz="12" w:space="0" w:color="auto"/>
              <w:right w:val="single" w:sz="12" w:space="0" w:color="auto"/>
            </w:tcBorders>
          </w:tcPr>
          <w:p w14:paraId="04EA3D46" w14:textId="77777777" w:rsidR="000761A4" w:rsidRDefault="000761A4" w:rsidP="000761A4">
            <w:pPr>
              <w:jc w:val="center"/>
              <w:rPr>
                <w:rFonts w:cs="Arial"/>
                <w:color w:val="000000"/>
                <w:sz w:val="22"/>
                <w:lang w:val="en-US"/>
              </w:rPr>
            </w:pPr>
            <w:r>
              <w:rPr>
                <w:rFonts w:cs="Arial"/>
                <w:color w:val="000000"/>
                <w:lang w:val="en-US"/>
              </w:rPr>
              <w:t>10</w:t>
            </w:r>
            <w:r>
              <w:rPr>
                <w:rFonts w:cs="Arial"/>
                <w:color w:val="000000"/>
                <w:vertAlign w:val="superscript"/>
                <w:lang w:val="en-US"/>
              </w:rPr>
              <w:t>-4</w:t>
            </w:r>
          </w:p>
          <w:p w14:paraId="293D5F9A" w14:textId="77777777" w:rsidR="000761A4" w:rsidRDefault="000761A4" w:rsidP="000761A4">
            <w:pPr>
              <w:rPr>
                <w:rFonts w:cs="Arial"/>
                <w:color w:val="000000"/>
                <w:vertAlign w:val="superscript"/>
                <w:lang w:val="en-US"/>
              </w:rPr>
            </w:pPr>
            <w:r>
              <w:rPr>
                <w:rFonts w:cs="Arial"/>
                <w:color w:val="000000"/>
                <w:lang w:val="en-US"/>
              </w:rPr>
              <w:t xml:space="preserve">Including delayed packets </w:t>
            </w:r>
          </w:p>
          <w:p w14:paraId="32896120" w14:textId="77777777" w:rsidR="000761A4" w:rsidRDefault="000761A4" w:rsidP="000761A4">
            <w:pPr>
              <w:jc w:val="center"/>
              <w:rPr>
                <w:rFonts w:cs="Arial"/>
                <w:color w:val="000000"/>
                <w:lang w:val="en-US"/>
              </w:rPr>
            </w:pPr>
            <w:r>
              <w:rPr>
                <w:rFonts w:cs="Arial"/>
                <w:color w:val="000000"/>
                <w:lang w:val="en-US"/>
              </w:rPr>
              <w:t>As with normal GBR traffic, data above GBR is best effort</w:t>
            </w:r>
          </w:p>
        </w:tc>
        <w:tc>
          <w:tcPr>
            <w:tcW w:w="2535" w:type="dxa"/>
            <w:tcBorders>
              <w:top w:val="single" w:sz="12" w:space="0" w:color="auto"/>
              <w:left w:val="single" w:sz="12" w:space="0" w:color="auto"/>
              <w:bottom w:val="single" w:sz="12" w:space="0" w:color="auto"/>
              <w:right w:val="single" w:sz="12" w:space="0" w:color="auto"/>
            </w:tcBorders>
          </w:tcPr>
          <w:p w14:paraId="5B5FDBB8" w14:textId="77777777" w:rsidR="00F41C92" w:rsidRDefault="00F41C92" w:rsidP="000761A4">
            <w:pPr>
              <w:pStyle w:val="TAL"/>
              <w:rPr>
                <w:rFonts w:cs="Arial"/>
                <w:color w:val="000000"/>
                <w:sz w:val="20"/>
                <w:lang w:val="en-US"/>
              </w:rPr>
            </w:pPr>
            <w:r>
              <w:rPr>
                <w:rFonts w:cs="Arial"/>
                <w:color w:val="000000"/>
                <w:sz w:val="20"/>
                <w:lang w:val="en-US"/>
              </w:rPr>
              <w:t>Averaging window=20 ms</w:t>
            </w:r>
          </w:p>
          <w:p w14:paraId="077D0C8C" w14:textId="77777777" w:rsidR="00F41C92" w:rsidRDefault="00F41C92" w:rsidP="00F41C92">
            <w:pPr>
              <w:pStyle w:val="TAL"/>
              <w:rPr>
                <w:rFonts w:cs="Arial"/>
                <w:color w:val="000000"/>
                <w:sz w:val="20"/>
                <w:lang w:val="en-US"/>
              </w:rPr>
            </w:pPr>
            <w:r>
              <w:rPr>
                <w:rFonts w:cs="Arial"/>
                <w:color w:val="000000"/>
                <w:sz w:val="20"/>
                <w:lang w:val="en-US"/>
              </w:rPr>
              <w:t>Max burst size = 255 bytes</w:t>
            </w:r>
          </w:p>
          <w:p w14:paraId="6356FD25" w14:textId="77777777" w:rsidR="00F41C92" w:rsidRDefault="00F41C92" w:rsidP="00F41C92">
            <w:pPr>
              <w:pStyle w:val="TAL"/>
              <w:rPr>
                <w:rFonts w:cs="Arial"/>
                <w:color w:val="000000"/>
                <w:sz w:val="20"/>
                <w:lang w:val="en-US"/>
              </w:rPr>
            </w:pPr>
          </w:p>
          <w:p w14:paraId="1B3A6DAE" w14:textId="77777777" w:rsidR="00F41C92" w:rsidRDefault="000761A4" w:rsidP="000761A4">
            <w:pPr>
              <w:pStyle w:val="TAL"/>
              <w:rPr>
                <w:rFonts w:cs="Arial"/>
                <w:color w:val="000000"/>
                <w:sz w:val="20"/>
                <w:lang w:val="en-US"/>
              </w:rPr>
            </w:pPr>
            <w:r>
              <w:rPr>
                <w:rFonts w:cs="Arial"/>
                <w:color w:val="000000"/>
                <w:sz w:val="20"/>
                <w:lang w:val="en-US"/>
              </w:rPr>
              <w:t xml:space="preserve">Activity factor and </w:t>
            </w:r>
            <w:r w:rsidR="00F41C92">
              <w:rPr>
                <w:rFonts w:cs="Arial"/>
                <w:color w:val="000000"/>
                <w:sz w:val="20"/>
                <w:lang w:val="en-US"/>
              </w:rPr>
              <w:t xml:space="preserve">average </w:t>
            </w:r>
            <w:r>
              <w:rPr>
                <w:rFonts w:cs="Arial"/>
                <w:color w:val="000000"/>
                <w:sz w:val="20"/>
                <w:lang w:val="en-US"/>
              </w:rPr>
              <w:t>data burst size might be learnt by the RAN, and stored in the MME in idle state</w:t>
            </w:r>
          </w:p>
          <w:p w14:paraId="2B8E5BA4" w14:textId="77777777" w:rsidR="000761A4" w:rsidRDefault="000761A4" w:rsidP="000761A4">
            <w:pPr>
              <w:pStyle w:val="TAL"/>
              <w:rPr>
                <w:rFonts w:cs="Arial"/>
                <w:color w:val="000000"/>
                <w:sz w:val="20"/>
                <w:lang w:val="en-US"/>
              </w:rPr>
            </w:pPr>
          </w:p>
        </w:tc>
        <w:tc>
          <w:tcPr>
            <w:tcW w:w="1918" w:type="dxa"/>
            <w:tcBorders>
              <w:top w:val="single" w:sz="12" w:space="0" w:color="auto"/>
              <w:left w:val="single" w:sz="12" w:space="0" w:color="auto"/>
              <w:bottom w:val="single" w:sz="12" w:space="0" w:color="auto"/>
              <w:right w:val="single" w:sz="12" w:space="0" w:color="auto"/>
            </w:tcBorders>
          </w:tcPr>
          <w:p w14:paraId="0F5E7B99" w14:textId="77777777" w:rsidR="000761A4" w:rsidRDefault="000761A4" w:rsidP="000761A4">
            <w:pPr>
              <w:pStyle w:val="TAL"/>
              <w:rPr>
                <w:rFonts w:cs="Arial"/>
                <w:color w:val="000000"/>
                <w:sz w:val="20"/>
                <w:lang w:val="en-US"/>
              </w:rPr>
            </w:pPr>
            <w:r>
              <w:rPr>
                <w:rFonts w:cs="Arial"/>
                <w:color w:val="000000"/>
                <w:sz w:val="20"/>
                <w:lang w:val="en-US"/>
              </w:rPr>
              <w:t>Discrete Automation (TS 22.261, table 7.2.2-1, row 2</w:t>
            </w:r>
            <w:r w:rsidR="00F41C92">
              <w:rPr>
                <w:rFonts w:cs="Arial"/>
                <w:color w:val="000000"/>
                <w:sz w:val="20"/>
                <w:lang w:val="en-US"/>
              </w:rPr>
              <w:t>, “small packets”)</w:t>
            </w:r>
            <w:r>
              <w:rPr>
                <w:rFonts w:cs="Arial"/>
                <w:color w:val="000000"/>
                <w:sz w:val="20"/>
                <w:lang w:val="en-US"/>
              </w:rPr>
              <w:t>.)</w:t>
            </w:r>
          </w:p>
          <w:p w14:paraId="36B847F7" w14:textId="77777777" w:rsidR="000761A4" w:rsidRDefault="000761A4" w:rsidP="000761A4">
            <w:pPr>
              <w:pStyle w:val="TAL"/>
              <w:rPr>
                <w:rFonts w:cs="Arial"/>
                <w:color w:val="000000"/>
                <w:sz w:val="20"/>
                <w:lang w:val="en-US"/>
              </w:rPr>
            </w:pPr>
          </w:p>
        </w:tc>
      </w:tr>
      <w:tr w:rsidR="000761A4" w14:paraId="10AD7F94" w14:textId="77777777" w:rsidTr="00FC153A">
        <w:trPr>
          <w:trHeight w:val="1634"/>
        </w:trPr>
        <w:tc>
          <w:tcPr>
            <w:tcW w:w="582" w:type="dxa"/>
            <w:tcBorders>
              <w:top w:val="single" w:sz="12" w:space="0" w:color="auto"/>
              <w:left w:val="single" w:sz="12" w:space="0" w:color="auto"/>
              <w:bottom w:val="single" w:sz="12" w:space="0" w:color="auto"/>
              <w:right w:val="single" w:sz="12" w:space="0" w:color="auto"/>
            </w:tcBorders>
            <w:hideMark/>
          </w:tcPr>
          <w:p w14:paraId="6022CF75" w14:textId="77777777" w:rsidR="000761A4" w:rsidRPr="00FC153A" w:rsidRDefault="000761A4">
            <w:pPr>
              <w:pStyle w:val="TAC"/>
              <w:rPr>
                <w:rFonts w:cs="Arial"/>
                <w:color w:val="000000" w:themeColor="text1"/>
                <w:sz w:val="16"/>
                <w:lang w:val="en-US"/>
              </w:rPr>
            </w:pPr>
            <w:r w:rsidRPr="00FC153A">
              <w:rPr>
                <w:rFonts w:cs="Arial"/>
                <w:color w:val="000000" w:themeColor="text1"/>
                <w:sz w:val="16"/>
                <w:lang w:val="en-US"/>
              </w:rPr>
              <w:t>N+2</w:t>
            </w:r>
          </w:p>
        </w:tc>
        <w:tc>
          <w:tcPr>
            <w:tcW w:w="894" w:type="dxa"/>
            <w:tcBorders>
              <w:top w:val="single" w:sz="12" w:space="0" w:color="auto"/>
              <w:left w:val="single" w:sz="12" w:space="0" w:color="auto"/>
              <w:bottom w:val="single" w:sz="12" w:space="0" w:color="auto"/>
              <w:right w:val="single" w:sz="12" w:space="0" w:color="auto"/>
            </w:tcBorders>
            <w:hideMark/>
          </w:tcPr>
          <w:p w14:paraId="327DADFF" w14:textId="77777777" w:rsidR="000761A4" w:rsidRDefault="000761A4">
            <w:pPr>
              <w:pStyle w:val="TAC"/>
              <w:rPr>
                <w:rFonts w:cs="Arial"/>
                <w:color w:val="000000"/>
                <w:sz w:val="20"/>
                <w:lang w:val="en-US"/>
              </w:rPr>
            </w:pPr>
            <w:r>
              <w:rPr>
                <w:rFonts w:cs="Arial"/>
                <w:color w:val="000000"/>
                <w:sz w:val="20"/>
                <w:lang w:val="en-US"/>
              </w:rPr>
              <w:t xml:space="preserve"> GBR </w:t>
            </w:r>
          </w:p>
        </w:tc>
        <w:tc>
          <w:tcPr>
            <w:tcW w:w="596" w:type="dxa"/>
            <w:tcBorders>
              <w:top w:val="single" w:sz="12" w:space="0" w:color="auto"/>
              <w:left w:val="single" w:sz="12" w:space="0" w:color="auto"/>
              <w:bottom w:val="single" w:sz="12" w:space="0" w:color="auto"/>
              <w:right w:val="single" w:sz="12" w:space="0" w:color="auto"/>
            </w:tcBorders>
            <w:hideMark/>
          </w:tcPr>
          <w:p w14:paraId="1A88D818" w14:textId="77777777" w:rsidR="000761A4" w:rsidRDefault="000761A4">
            <w:pPr>
              <w:pStyle w:val="TAC"/>
              <w:rPr>
                <w:rFonts w:cs="Arial"/>
                <w:color w:val="000000"/>
                <w:sz w:val="20"/>
                <w:lang w:val="en-US"/>
              </w:rPr>
            </w:pPr>
            <w:r>
              <w:rPr>
                <w:rFonts w:cs="Arial"/>
                <w:color w:val="000000"/>
                <w:sz w:val="20"/>
                <w:lang w:val="en-US"/>
              </w:rPr>
              <w:t>2</w:t>
            </w:r>
          </w:p>
        </w:tc>
        <w:tc>
          <w:tcPr>
            <w:tcW w:w="2183" w:type="dxa"/>
            <w:tcBorders>
              <w:top w:val="single" w:sz="12" w:space="0" w:color="auto"/>
              <w:left w:val="single" w:sz="12" w:space="0" w:color="auto"/>
              <w:bottom w:val="single" w:sz="12" w:space="0" w:color="auto"/>
              <w:right w:val="single" w:sz="12" w:space="0" w:color="auto"/>
            </w:tcBorders>
          </w:tcPr>
          <w:p w14:paraId="0ED6DD00" w14:textId="77777777" w:rsidR="000761A4" w:rsidRDefault="000761A4">
            <w:pPr>
              <w:pStyle w:val="TAC"/>
              <w:rPr>
                <w:rFonts w:cs="Arial"/>
                <w:color w:val="000000"/>
                <w:sz w:val="20"/>
                <w:lang w:val="en-US"/>
              </w:rPr>
            </w:pPr>
            <w:r>
              <w:rPr>
                <w:rFonts w:cs="Arial"/>
                <w:color w:val="000000"/>
                <w:sz w:val="20"/>
                <w:lang w:val="en-US"/>
              </w:rPr>
              <w:t>10 ms .</w:t>
            </w:r>
          </w:p>
          <w:p w14:paraId="63E8F907" w14:textId="77777777" w:rsidR="000761A4" w:rsidRDefault="000761A4">
            <w:pPr>
              <w:pStyle w:val="TAC"/>
              <w:rPr>
                <w:rFonts w:cs="Arial"/>
                <w:color w:val="000000"/>
                <w:sz w:val="20"/>
                <w:lang w:val="en-US"/>
              </w:rPr>
            </w:pPr>
          </w:p>
          <w:p w14:paraId="7BA66BF0" w14:textId="77777777" w:rsidR="000761A4" w:rsidRDefault="000761A4">
            <w:pPr>
              <w:pStyle w:val="TAC"/>
              <w:rPr>
                <w:rFonts w:cs="Arial"/>
                <w:color w:val="000000"/>
                <w:sz w:val="20"/>
                <w:lang w:val="en-US"/>
              </w:rPr>
            </w:pPr>
            <w:r>
              <w:rPr>
                <w:rFonts w:cs="Arial"/>
                <w:color w:val="000000"/>
                <w:sz w:val="20"/>
                <w:lang w:val="en-US"/>
              </w:rPr>
              <w:t>Assumes 1ms from SGi to eNB physical layer</w:t>
            </w:r>
          </w:p>
          <w:p w14:paraId="3A87D3B1" w14:textId="77777777" w:rsidR="000761A4" w:rsidRDefault="000761A4">
            <w:pPr>
              <w:pStyle w:val="TAC"/>
              <w:rPr>
                <w:rFonts w:cs="Arial"/>
                <w:color w:val="000000"/>
                <w:sz w:val="20"/>
                <w:lang w:val="en-US"/>
              </w:rPr>
            </w:pPr>
          </w:p>
          <w:p w14:paraId="07D110BC" w14:textId="77777777" w:rsidR="000761A4" w:rsidRDefault="000761A4">
            <w:pPr>
              <w:pStyle w:val="TAC"/>
              <w:rPr>
                <w:rFonts w:cs="Arial"/>
                <w:color w:val="000000"/>
                <w:sz w:val="20"/>
                <w:lang w:val="en-US"/>
              </w:rPr>
            </w:pPr>
          </w:p>
        </w:tc>
        <w:tc>
          <w:tcPr>
            <w:tcW w:w="1999" w:type="dxa"/>
            <w:tcBorders>
              <w:top w:val="single" w:sz="12" w:space="0" w:color="auto"/>
              <w:left w:val="single" w:sz="12" w:space="0" w:color="auto"/>
              <w:bottom w:val="single" w:sz="12" w:space="0" w:color="auto"/>
              <w:right w:val="single" w:sz="12" w:space="0" w:color="auto"/>
            </w:tcBorders>
            <w:hideMark/>
          </w:tcPr>
          <w:p w14:paraId="7A7BB131" w14:textId="77777777" w:rsidR="000761A4" w:rsidRDefault="000761A4">
            <w:pPr>
              <w:jc w:val="center"/>
              <w:rPr>
                <w:rFonts w:cs="Arial"/>
                <w:color w:val="000000"/>
                <w:sz w:val="22"/>
                <w:lang w:val="en-US"/>
              </w:rPr>
            </w:pPr>
            <w:r>
              <w:rPr>
                <w:rFonts w:cs="Arial"/>
                <w:color w:val="000000"/>
                <w:lang w:val="en-US"/>
              </w:rPr>
              <w:t>10</w:t>
            </w:r>
            <w:r>
              <w:rPr>
                <w:rFonts w:cs="Arial"/>
                <w:color w:val="000000"/>
                <w:vertAlign w:val="superscript"/>
                <w:lang w:val="en-US"/>
              </w:rPr>
              <w:t>-4</w:t>
            </w:r>
          </w:p>
          <w:p w14:paraId="7649AE24" w14:textId="77777777" w:rsidR="000761A4" w:rsidRDefault="000761A4">
            <w:pPr>
              <w:rPr>
                <w:rFonts w:cs="Arial"/>
                <w:color w:val="000000"/>
                <w:vertAlign w:val="superscript"/>
                <w:lang w:val="en-US"/>
              </w:rPr>
            </w:pPr>
            <w:r>
              <w:rPr>
                <w:rFonts w:cs="Arial"/>
                <w:color w:val="000000"/>
                <w:lang w:val="en-US"/>
              </w:rPr>
              <w:t>Including delayed packets</w:t>
            </w:r>
          </w:p>
          <w:p w14:paraId="03AA9956" w14:textId="77777777" w:rsidR="00CF3725" w:rsidRDefault="00F41C92">
            <w:pPr>
              <w:rPr>
                <w:rFonts w:cs="Arial"/>
                <w:color w:val="000000"/>
                <w:lang w:val="en-US"/>
              </w:rPr>
            </w:pPr>
            <w:r>
              <w:rPr>
                <w:rFonts w:cs="Arial"/>
                <w:color w:val="000000"/>
                <w:lang w:val="en-US"/>
              </w:rPr>
              <w:t>As with normal GBR traffic, data above GBR is best effort</w:t>
            </w:r>
            <w:r w:rsidR="000761A4">
              <w:rPr>
                <w:rFonts w:cs="Arial"/>
                <w:color w:val="000000"/>
                <w:lang w:val="en-US"/>
              </w:rPr>
              <w:t>.</w:t>
            </w:r>
          </w:p>
        </w:tc>
        <w:tc>
          <w:tcPr>
            <w:tcW w:w="2535" w:type="dxa"/>
            <w:tcBorders>
              <w:top w:val="single" w:sz="12" w:space="0" w:color="auto"/>
              <w:left w:val="single" w:sz="12" w:space="0" w:color="auto"/>
              <w:bottom w:val="single" w:sz="12" w:space="0" w:color="auto"/>
              <w:right w:val="single" w:sz="12" w:space="0" w:color="auto"/>
            </w:tcBorders>
          </w:tcPr>
          <w:p w14:paraId="42C92E44" w14:textId="77777777" w:rsidR="00F41C92" w:rsidRDefault="00F41C92">
            <w:pPr>
              <w:pStyle w:val="TAL"/>
              <w:rPr>
                <w:rFonts w:cs="Arial"/>
                <w:color w:val="000000"/>
                <w:sz w:val="20"/>
                <w:lang w:val="en-US"/>
              </w:rPr>
            </w:pPr>
            <w:r>
              <w:rPr>
                <w:rFonts w:cs="Arial"/>
                <w:color w:val="000000"/>
                <w:sz w:val="20"/>
                <w:lang w:val="en-US"/>
              </w:rPr>
              <w:t xml:space="preserve">Averaging window=20 ms </w:t>
            </w:r>
          </w:p>
          <w:p w14:paraId="3B00BF1E" w14:textId="77777777" w:rsidR="00F41C92" w:rsidRDefault="00F41C92">
            <w:pPr>
              <w:pStyle w:val="TAL"/>
              <w:rPr>
                <w:rFonts w:cs="Arial"/>
                <w:color w:val="000000"/>
                <w:sz w:val="20"/>
                <w:lang w:val="en-US"/>
              </w:rPr>
            </w:pPr>
            <w:r>
              <w:rPr>
                <w:rFonts w:cs="Arial"/>
                <w:color w:val="000000"/>
                <w:sz w:val="20"/>
                <w:lang w:val="en-US"/>
              </w:rPr>
              <w:t>Max burst size = 1500 bytes</w:t>
            </w:r>
          </w:p>
          <w:p w14:paraId="26B0C8A1" w14:textId="77777777" w:rsidR="00F41C92" w:rsidRDefault="00F41C92">
            <w:pPr>
              <w:pStyle w:val="TAL"/>
              <w:rPr>
                <w:rFonts w:cs="Arial"/>
                <w:color w:val="000000"/>
                <w:sz w:val="20"/>
                <w:lang w:val="en-US"/>
              </w:rPr>
            </w:pPr>
          </w:p>
          <w:p w14:paraId="670D7D16" w14:textId="77777777" w:rsidR="000761A4" w:rsidRDefault="000761A4">
            <w:pPr>
              <w:pStyle w:val="TAL"/>
              <w:rPr>
                <w:rFonts w:cs="Arial"/>
                <w:color w:val="000000"/>
                <w:sz w:val="20"/>
                <w:lang w:val="en-US"/>
              </w:rPr>
            </w:pPr>
          </w:p>
          <w:p w14:paraId="0B84A277" w14:textId="77777777" w:rsidR="000761A4" w:rsidRDefault="000761A4">
            <w:pPr>
              <w:pStyle w:val="TAL"/>
              <w:rPr>
                <w:rFonts w:cs="Arial"/>
                <w:color w:val="000000"/>
                <w:sz w:val="20"/>
                <w:lang w:val="en-US"/>
              </w:rPr>
            </w:pPr>
          </w:p>
          <w:p w14:paraId="7A59712A" w14:textId="77777777" w:rsidR="000761A4" w:rsidRDefault="000761A4">
            <w:pPr>
              <w:pStyle w:val="TAL"/>
              <w:rPr>
                <w:rFonts w:cs="Arial"/>
                <w:color w:val="000000"/>
                <w:sz w:val="20"/>
                <w:lang w:val="en-US"/>
              </w:rPr>
            </w:pPr>
            <w:r>
              <w:rPr>
                <w:rFonts w:cs="Arial"/>
                <w:color w:val="000000"/>
                <w:sz w:val="20"/>
                <w:lang w:val="en-US"/>
              </w:rPr>
              <w:t xml:space="preserve">Arrival rate and </w:t>
            </w:r>
            <w:r w:rsidR="00F41C92">
              <w:rPr>
                <w:rFonts w:cs="Arial"/>
                <w:color w:val="000000"/>
                <w:sz w:val="20"/>
                <w:lang w:val="en-US"/>
              </w:rPr>
              <w:t xml:space="preserve">average </w:t>
            </w:r>
            <w:r>
              <w:rPr>
                <w:rFonts w:cs="Arial"/>
                <w:color w:val="000000"/>
                <w:sz w:val="20"/>
                <w:lang w:val="en-US"/>
              </w:rPr>
              <w:t>data burst size may be learnt by the RAN, and stored in the MME in idle state</w:t>
            </w:r>
          </w:p>
        </w:tc>
        <w:tc>
          <w:tcPr>
            <w:tcW w:w="1918" w:type="dxa"/>
            <w:tcBorders>
              <w:top w:val="single" w:sz="12" w:space="0" w:color="auto"/>
              <w:left w:val="single" w:sz="12" w:space="0" w:color="auto"/>
              <w:bottom w:val="single" w:sz="12" w:space="0" w:color="auto"/>
              <w:right w:val="single" w:sz="12" w:space="0" w:color="auto"/>
            </w:tcBorders>
          </w:tcPr>
          <w:p w14:paraId="54575277" w14:textId="77777777" w:rsidR="00383979" w:rsidRDefault="000761A4">
            <w:pPr>
              <w:pStyle w:val="TAL"/>
              <w:rPr>
                <w:rFonts w:cs="Arial"/>
                <w:color w:val="000000"/>
                <w:sz w:val="20"/>
                <w:lang w:val="en-US"/>
              </w:rPr>
            </w:pPr>
            <w:r>
              <w:rPr>
                <w:rFonts w:cs="Arial"/>
                <w:color w:val="000000"/>
                <w:sz w:val="20"/>
                <w:lang w:val="en-US"/>
              </w:rPr>
              <w:t>Discrete Automation (TS 22.261</w:t>
            </w:r>
          </w:p>
          <w:p w14:paraId="350382F6" w14:textId="77777777" w:rsidR="000761A4" w:rsidRDefault="000761A4">
            <w:pPr>
              <w:pStyle w:val="TAL"/>
              <w:rPr>
                <w:rFonts w:cs="Arial"/>
                <w:color w:val="000000"/>
                <w:sz w:val="20"/>
                <w:lang w:val="en-US"/>
              </w:rPr>
            </w:pPr>
            <w:r>
              <w:rPr>
                <w:rFonts w:cs="Arial"/>
                <w:color w:val="000000"/>
                <w:sz w:val="20"/>
                <w:lang w:val="en-US"/>
              </w:rPr>
              <w:t>, table 7.2.2-1, row 2, “</w:t>
            </w:r>
            <w:r w:rsidR="00F41C92">
              <w:rPr>
                <w:rFonts w:cs="Arial"/>
                <w:color w:val="000000"/>
                <w:sz w:val="20"/>
                <w:lang w:val="en-US"/>
              </w:rPr>
              <w:t>big</w:t>
            </w:r>
            <w:r>
              <w:rPr>
                <w:rFonts w:cs="Arial"/>
                <w:color w:val="000000"/>
                <w:sz w:val="20"/>
                <w:lang w:val="en-US"/>
              </w:rPr>
              <w:t>l packets”)</w:t>
            </w:r>
          </w:p>
          <w:p w14:paraId="62C3E823" w14:textId="77777777" w:rsidR="000761A4" w:rsidRDefault="000761A4">
            <w:pPr>
              <w:pStyle w:val="TAL"/>
              <w:rPr>
                <w:rFonts w:cs="Arial"/>
                <w:color w:val="000000"/>
                <w:sz w:val="20"/>
                <w:lang w:val="en-US"/>
              </w:rPr>
            </w:pPr>
          </w:p>
        </w:tc>
      </w:tr>
      <w:tr w:rsidR="00DA6C14" w14:paraId="3ABF5C07" w14:textId="77777777" w:rsidTr="00FC153A">
        <w:trPr>
          <w:trHeight w:val="1634"/>
        </w:trPr>
        <w:tc>
          <w:tcPr>
            <w:tcW w:w="582" w:type="dxa"/>
            <w:tcBorders>
              <w:top w:val="single" w:sz="12" w:space="0" w:color="auto"/>
              <w:left w:val="single" w:sz="12" w:space="0" w:color="auto"/>
              <w:bottom w:val="single" w:sz="12" w:space="0" w:color="auto"/>
              <w:right w:val="single" w:sz="12" w:space="0" w:color="auto"/>
            </w:tcBorders>
          </w:tcPr>
          <w:p w14:paraId="570E0098" w14:textId="7540F3DF" w:rsidR="00DA6C14" w:rsidRPr="00FC153A" w:rsidRDefault="00DA6C14" w:rsidP="00DA6C14">
            <w:pPr>
              <w:pStyle w:val="TAC"/>
              <w:rPr>
                <w:rFonts w:cs="Arial"/>
                <w:color w:val="000000" w:themeColor="text1"/>
                <w:sz w:val="16"/>
                <w:lang w:val="en-US"/>
              </w:rPr>
            </w:pPr>
            <w:r w:rsidRPr="00FC153A">
              <w:rPr>
                <w:rFonts w:cs="Arial"/>
                <w:color w:val="000000" w:themeColor="text1"/>
                <w:sz w:val="16"/>
                <w:lang w:val="en-US"/>
              </w:rPr>
              <w:t>N+3</w:t>
            </w:r>
          </w:p>
        </w:tc>
        <w:tc>
          <w:tcPr>
            <w:tcW w:w="894" w:type="dxa"/>
            <w:tcBorders>
              <w:top w:val="single" w:sz="12" w:space="0" w:color="auto"/>
              <w:left w:val="single" w:sz="12" w:space="0" w:color="auto"/>
              <w:bottom w:val="single" w:sz="12" w:space="0" w:color="auto"/>
              <w:right w:val="single" w:sz="12" w:space="0" w:color="auto"/>
            </w:tcBorders>
          </w:tcPr>
          <w:p w14:paraId="4F39B510" w14:textId="18C0E46D" w:rsidR="00DA6C14" w:rsidRDefault="00DA6C14" w:rsidP="00DA6C14">
            <w:pPr>
              <w:pStyle w:val="TAC"/>
              <w:rPr>
                <w:rFonts w:cs="Arial"/>
                <w:color w:val="000000"/>
                <w:sz w:val="20"/>
                <w:lang w:val="en-US"/>
              </w:rPr>
            </w:pPr>
            <w:r>
              <w:rPr>
                <w:rFonts w:cs="Arial"/>
                <w:color w:val="000000" w:themeColor="text1"/>
                <w:sz w:val="20"/>
                <w:lang w:val="en-US"/>
              </w:rPr>
              <w:t>Non-GBR</w:t>
            </w:r>
          </w:p>
        </w:tc>
        <w:tc>
          <w:tcPr>
            <w:tcW w:w="596" w:type="dxa"/>
            <w:tcBorders>
              <w:top w:val="single" w:sz="12" w:space="0" w:color="auto"/>
              <w:left w:val="single" w:sz="12" w:space="0" w:color="auto"/>
              <w:bottom w:val="single" w:sz="12" w:space="0" w:color="auto"/>
              <w:right w:val="single" w:sz="12" w:space="0" w:color="auto"/>
            </w:tcBorders>
          </w:tcPr>
          <w:p w14:paraId="73E40B97" w14:textId="3B07F846" w:rsidR="00DA6C14" w:rsidRDefault="00DA6C14" w:rsidP="00DA6C14">
            <w:pPr>
              <w:pStyle w:val="TAC"/>
              <w:rPr>
                <w:rFonts w:cs="Arial"/>
                <w:color w:val="000000"/>
                <w:sz w:val="20"/>
                <w:lang w:val="en-US"/>
              </w:rPr>
            </w:pPr>
            <w:r>
              <w:rPr>
                <w:rFonts w:cs="Arial"/>
                <w:color w:val="000000" w:themeColor="text1"/>
                <w:sz w:val="20"/>
                <w:lang w:val="en-US"/>
              </w:rPr>
              <w:t>6.2</w:t>
            </w:r>
          </w:p>
        </w:tc>
        <w:tc>
          <w:tcPr>
            <w:tcW w:w="2183" w:type="dxa"/>
            <w:tcBorders>
              <w:top w:val="single" w:sz="12" w:space="0" w:color="auto"/>
              <w:left w:val="single" w:sz="12" w:space="0" w:color="auto"/>
              <w:bottom w:val="single" w:sz="12" w:space="0" w:color="auto"/>
              <w:right w:val="single" w:sz="12" w:space="0" w:color="auto"/>
            </w:tcBorders>
          </w:tcPr>
          <w:p w14:paraId="3BCC64A1" w14:textId="77777777" w:rsidR="00DA6C14" w:rsidRDefault="00DA6C14" w:rsidP="00DA6C14">
            <w:pPr>
              <w:pStyle w:val="TAC"/>
              <w:rPr>
                <w:rFonts w:cs="Arial"/>
                <w:color w:val="000000" w:themeColor="text1"/>
                <w:sz w:val="20"/>
                <w:lang w:val="en-US"/>
              </w:rPr>
            </w:pPr>
            <w:r>
              <w:rPr>
                <w:rFonts w:cs="Arial"/>
                <w:color w:val="000000" w:themeColor="text1"/>
                <w:sz w:val="20"/>
                <w:lang w:val="en-US"/>
              </w:rPr>
              <w:t>10 ms</w:t>
            </w:r>
          </w:p>
          <w:p w14:paraId="2B3D4E1B" w14:textId="77777777" w:rsidR="00DA6C14" w:rsidRDefault="00DA6C14" w:rsidP="00DA6C14">
            <w:pPr>
              <w:pStyle w:val="TAC"/>
              <w:rPr>
                <w:rFonts w:cs="Arial"/>
                <w:color w:val="000000" w:themeColor="text1"/>
                <w:sz w:val="20"/>
                <w:lang w:val="en-US"/>
              </w:rPr>
            </w:pPr>
          </w:p>
          <w:p w14:paraId="69EA1E93" w14:textId="77777777" w:rsidR="00DA6C14" w:rsidRDefault="00DA6C14" w:rsidP="00DA6C14">
            <w:pPr>
              <w:pStyle w:val="TAC"/>
              <w:rPr>
                <w:rFonts w:cs="Arial"/>
                <w:color w:val="000000" w:themeColor="text1"/>
                <w:sz w:val="20"/>
                <w:lang w:val="en-US"/>
              </w:rPr>
            </w:pPr>
            <w:r>
              <w:rPr>
                <w:rFonts w:cs="Arial"/>
                <w:color w:val="000000" w:themeColor="text1"/>
                <w:sz w:val="20"/>
                <w:lang w:val="en-US"/>
              </w:rPr>
              <w:t>For 98% of packets (as existing TS 23.203)</w:t>
            </w:r>
          </w:p>
          <w:p w14:paraId="55A3D327" w14:textId="77777777" w:rsidR="00DA6C14" w:rsidRDefault="00DA6C14" w:rsidP="00DA6C14">
            <w:pPr>
              <w:pStyle w:val="TAC"/>
              <w:rPr>
                <w:rFonts w:cs="Arial"/>
                <w:color w:val="000000" w:themeColor="text1"/>
                <w:sz w:val="20"/>
                <w:lang w:val="en-US"/>
              </w:rPr>
            </w:pPr>
          </w:p>
          <w:p w14:paraId="08E872A3" w14:textId="77777777" w:rsidR="00DA6C14" w:rsidRDefault="00DA6C14" w:rsidP="00DA6C14">
            <w:pPr>
              <w:pStyle w:val="TAC"/>
              <w:rPr>
                <w:rFonts w:cs="Arial"/>
                <w:color w:val="000000" w:themeColor="text1"/>
                <w:sz w:val="20"/>
                <w:lang w:val="en-US"/>
              </w:rPr>
            </w:pPr>
            <w:r>
              <w:rPr>
                <w:rFonts w:cs="Arial"/>
                <w:color w:val="000000" w:themeColor="text1"/>
                <w:sz w:val="20"/>
                <w:lang w:val="en-US"/>
              </w:rPr>
              <w:t>Assumes 2 ms from SGi to eNB physical layer</w:t>
            </w:r>
          </w:p>
          <w:p w14:paraId="0E9D8576" w14:textId="77777777" w:rsidR="00DA6C14" w:rsidRDefault="00DA6C14" w:rsidP="00DA6C14">
            <w:pPr>
              <w:pStyle w:val="TAC"/>
              <w:rPr>
                <w:rFonts w:cs="Arial"/>
                <w:color w:val="000000"/>
                <w:sz w:val="20"/>
                <w:lang w:val="en-US"/>
              </w:rPr>
            </w:pPr>
          </w:p>
        </w:tc>
        <w:tc>
          <w:tcPr>
            <w:tcW w:w="1999" w:type="dxa"/>
            <w:tcBorders>
              <w:top w:val="single" w:sz="12" w:space="0" w:color="auto"/>
              <w:left w:val="single" w:sz="12" w:space="0" w:color="auto"/>
              <w:bottom w:val="single" w:sz="12" w:space="0" w:color="auto"/>
              <w:right w:val="single" w:sz="12" w:space="0" w:color="auto"/>
            </w:tcBorders>
          </w:tcPr>
          <w:p w14:paraId="5882872B" w14:textId="77777777" w:rsidR="00DA6C14" w:rsidRDefault="00DA6C14" w:rsidP="00DA6C14">
            <w:pPr>
              <w:pStyle w:val="TAC"/>
              <w:jc w:val="both"/>
              <w:rPr>
                <w:rFonts w:cs="Arial"/>
                <w:color w:val="000000"/>
                <w:sz w:val="20"/>
                <w:lang w:val="en-US"/>
              </w:rPr>
            </w:pPr>
            <w:r>
              <w:rPr>
                <w:rFonts w:cs="Arial"/>
                <w:color w:val="000000"/>
                <w:sz w:val="20"/>
                <w:lang w:val="en-US"/>
              </w:rPr>
              <w:t xml:space="preserve">     10-6</w:t>
            </w:r>
          </w:p>
          <w:p w14:paraId="2288600E" w14:textId="77777777" w:rsidR="00DA6C14" w:rsidRDefault="00DA6C14" w:rsidP="00DA6C14">
            <w:pPr>
              <w:pStyle w:val="TAC"/>
              <w:jc w:val="both"/>
              <w:rPr>
                <w:rFonts w:cs="Arial"/>
                <w:color w:val="000000"/>
                <w:sz w:val="20"/>
                <w:lang w:val="en-US"/>
              </w:rPr>
            </w:pPr>
          </w:p>
          <w:p w14:paraId="64D9ADFC" w14:textId="77777777" w:rsidR="00DA6C14" w:rsidRDefault="00DA6C14" w:rsidP="00DA6C14">
            <w:pPr>
              <w:pStyle w:val="TAC"/>
              <w:rPr>
                <w:rFonts w:cs="Arial"/>
                <w:color w:val="000000"/>
                <w:sz w:val="20"/>
                <w:lang w:val="en-US"/>
              </w:rPr>
            </w:pPr>
            <w:r>
              <w:rPr>
                <w:rFonts w:cs="Arial"/>
                <w:color w:val="000000"/>
                <w:sz w:val="20"/>
                <w:lang w:val="en-US"/>
              </w:rPr>
              <w:t>Excluding delayed packets.</w:t>
            </w:r>
          </w:p>
          <w:p w14:paraId="0DF47F88" w14:textId="77777777" w:rsidR="00DA6C14" w:rsidRDefault="00DA6C14" w:rsidP="00DA6C14">
            <w:pPr>
              <w:pStyle w:val="TAC"/>
              <w:rPr>
                <w:rFonts w:cs="Arial"/>
                <w:color w:val="000000"/>
                <w:sz w:val="20"/>
                <w:lang w:val="en-US"/>
              </w:rPr>
            </w:pPr>
          </w:p>
          <w:p w14:paraId="4C15BF08" w14:textId="77CD35DB" w:rsidR="00DA6C14" w:rsidRDefault="00DA6C14" w:rsidP="00DA6C14">
            <w:pPr>
              <w:jc w:val="center"/>
              <w:rPr>
                <w:rFonts w:cs="Arial"/>
                <w:color w:val="000000"/>
                <w:lang w:val="en-US"/>
              </w:rPr>
            </w:pPr>
            <w:r>
              <w:rPr>
                <w:rFonts w:cs="Arial"/>
                <w:color w:val="000000"/>
                <w:lang w:val="en-US"/>
              </w:rPr>
              <w:t>This error rate is intended for the configuration of the RAN data link.</w:t>
            </w:r>
          </w:p>
        </w:tc>
        <w:tc>
          <w:tcPr>
            <w:tcW w:w="2535" w:type="dxa"/>
            <w:tcBorders>
              <w:top w:val="single" w:sz="12" w:space="0" w:color="auto"/>
              <w:left w:val="single" w:sz="12" w:space="0" w:color="auto"/>
              <w:bottom w:val="single" w:sz="12" w:space="0" w:color="auto"/>
              <w:right w:val="single" w:sz="12" w:space="0" w:color="auto"/>
            </w:tcBorders>
          </w:tcPr>
          <w:p w14:paraId="794E7476" w14:textId="77777777" w:rsidR="00DA6C14" w:rsidRDefault="00DA6C14" w:rsidP="00DA6C14">
            <w:pPr>
              <w:pStyle w:val="TAL"/>
              <w:rPr>
                <w:rFonts w:cs="Arial"/>
                <w:color w:val="000000"/>
                <w:sz w:val="20"/>
                <w:lang w:val="en-US"/>
              </w:rPr>
            </w:pPr>
          </w:p>
        </w:tc>
        <w:tc>
          <w:tcPr>
            <w:tcW w:w="1918" w:type="dxa"/>
            <w:tcBorders>
              <w:top w:val="single" w:sz="12" w:space="0" w:color="auto"/>
              <w:left w:val="single" w:sz="12" w:space="0" w:color="auto"/>
              <w:bottom w:val="single" w:sz="12" w:space="0" w:color="auto"/>
              <w:right w:val="single" w:sz="12" w:space="0" w:color="auto"/>
            </w:tcBorders>
          </w:tcPr>
          <w:p w14:paraId="16980E45" w14:textId="77777777" w:rsidR="00DA6C14" w:rsidRDefault="00DA6C14" w:rsidP="00DA6C14">
            <w:pPr>
              <w:pStyle w:val="TAL"/>
              <w:rPr>
                <w:rFonts w:cs="Arial"/>
                <w:color w:val="000000"/>
                <w:sz w:val="20"/>
                <w:lang w:val="en-US"/>
              </w:rPr>
            </w:pPr>
            <w:r>
              <w:rPr>
                <w:rFonts w:cs="Arial"/>
                <w:color w:val="000000"/>
                <w:sz w:val="20"/>
                <w:lang w:val="en-US"/>
              </w:rPr>
              <w:t xml:space="preserve">Low latency eMBB applications (TCP-IP based); </w:t>
            </w:r>
          </w:p>
          <w:p w14:paraId="62681C58" w14:textId="77777777" w:rsidR="00DA6C14" w:rsidRDefault="00DA6C14" w:rsidP="00DA6C14">
            <w:pPr>
              <w:pStyle w:val="TAL"/>
              <w:rPr>
                <w:rFonts w:cs="Arial"/>
                <w:color w:val="000000"/>
                <w:sz w:val="20"/>
                <w:lang w:val="en-US"/>
              </w:rPr>
            </w:pPr>
          </w:p>
          <w:p w14:paraId="51D6DBE9" w14:textId="4987AE92" w:rsidR="00DA6C14" w:rsidRDefault="00DA6C14" w:rsidP="00DA6C14">
            <w:pPr>
              <w:pStyle w:val="TAL"/>
              <w:rPr>
                <w:rFonts w:cs="Arial"/>
                <w:color w:val="000000"/>
                <w:sz w:val="20"/>
                <w:lang w:val="en-US"/>
              </w:rPr>
            </w:pPr>
            <w:r>
              <w:rPr>
                <w:rFonts w:cs="Arial"/>
                <w:color w:val="000000"/>
                <w:sz w:val="20"/>
                <w:lang w:val="en-US"/>
              </w:rPr>
              <w:t>Augmented Reality</w:t>
            </w:r>
          </w:p>
        </w:tc>
      </w:tr>
      <w:tr w:rsidR="00DA6C14" w14:paraId="268C30F0" w14:textId="77777777" w:rsidTr="00FC153A">
        <w:trPr>
          <w:trHeight w:val="310"/>
        </w:trPr>
        <w:tc>
          <w:tcPr>
            <w:tcW w:w="582" w:type="dxa"/>
            <w:tcBorders>
              <w:top w:val="single" w:sz="12" w:space="0" w:color="auto"/>
              <w:left w:val="single" w:sz="12" w:space="0" w:color="auto"/>
              <w:bottom w:val="single" w:sz="12" w:space="0" w:color="auto"/>
              <w:right w:val="single" w:sz="12" w:space="0" w:color="auto"/>
            </w:tcBorders>
          </w:tcPr>
          <w:p w14:paraId="6B0403B7" w14:textId="54065597" w:rsidR="00DA6C14" w:rsidRPr="00FC153A" w:rsidRDefault="00DA6C14" w:rsidP="00DA6C14">
            <w:pPr>
              <w:pStyle w:val="TAC"/>
              <w:rPr>
                <w:rFonts w:cs="Arial"/>
                <w:color w:val="FF0000"/>
                <w:sz w:val="16"/>
                <w:lang w:val="en-US"/>
              </w:rPr>
            </w:pPr>
            <w:r w:rsidRPr="00FC153A">
              <w:rPr>
                <w:rFonts w:cs="Arial"/>
                <w:color w:val="000000" w:themeColor="text1"/>
                <w:sz w:val="16"/>
                <w:lang w:val="en-US"/>
              </w:rPr>
              <w:t>N+4</w:t>
            </w:r>
          </w:p>
        </w:tc>
        <w:tc>
          <w:tcPr>
            <w:tcW w:w="894" w:type="dxa"/>
            <w:tcBorders>
              <w:top w:val="single" w:sz="12" w:space="0" w:color="auto"/>
              <w:left w:val="single" w:sz="12" w:space="0" w:color="auto"/>
              <w:bottom w:val="single" w:sz="12" w:space="0" w:color="auto"/>
              <w:right w:val="single" w:sz="12" w:space="0" w:color="auto"/>
            </w:tcBorders>
          </w:tcPr>
          <w:p w14:paraId="140F711B" w14:textId="120E5541" w:rsidR="00DA6C14" w:rsidRDefault="00DA6C14" w:rsidP="00DA6C14">
            <w:pPr>
              <w:pStyle w:val="TAC"/>
              <w:rPr>
                <w:rFonts w:cs="Arial"/>
                <w:color w:val="000000"/>
                <w:sz w:val="20"/>
                <w:lang w:val="en-US"/>
              </w:rPr>
            </w:pPr>
            <w:r>
              <w:rPr>
                <w:rFonts w:cs="Arial"/>
                <w:color w:val="000000" w:themeColor="text1"/>
                <w:sz w:val="20"/>
                <w:lang w:val="en-US"/>
              </w:rPr>
              <w:t>GBR</w:t>
            </w:r>
          </w:p>
        </w:tc>
        <w:tc>
          <w:tcPr>
            <w:tcW w:w="596" w:type="dxa"/>
            <w:tcBorders>
              <w:top w:val="single" w:sz="12" w:space="0" w:color="auto"/>
              <w:left w:val="single" w:sz="12" w:space="0" w:color="auto"/>
              <w:bottom w:val="single" w:sz="12" w:space="0" w:color="auto"/>
              <w:right w:val="single" w:sz="12" w:space="0" w:color="auto"/>
            </w:tcBorders>
          </w:tcPr>
          <w:p w14:paraId="2F72C265" w14:textId="77777777" w:rsidR="00DA6C14" w:rsidRDefault="00DA6C14" w:rsidP="00DA6C14">
            <w:pPr>
              <w:pStyle w:val="TAC"/>
              <w:rPr>
                <w:rFonts w:cs="Arial"/>
                <w:color w:val="000000"/>
                <w:sz w:val="20"/>
                <w:lang w:val="en-US"/>
              </w:rPr>
            </w:pPr>
          </w:p>
        </w:tc>
        <w:tc>
          <w:tcPr>
            <w:tcW w:w="2183" w:type="dxa"/>
            <w:tcBorders>
              <w:top w:val="single" w:sz="12" w:space="0" w:color="auto"/>
              <w:left w:val="single" w:sz="12" w:space="0" w:color="auto"/>
              <w:bottom w:val="single" w:sz="12" w:space="0" w:color="auto"/>
              <w:right w:val="single" w:sz="12" w:space="0" w:color="auto"/>
            </w:tcBorders>
          </w:tcPr>
          <w:p w14:paraId="60986F43" w14:textId="77777777" w:rsidR="00DA6C14" w:rsidRDefault="00DA6C14" w:rsidP="00DA6C14">
            <w:pPr>
              <w:pStyle w:val="TAC"/>
              <w:rPr>
                <w:rFonts w:cs="Arial"/>
                <w:color w:val="000000"/>
                <w:sz w:val="20"/>
                <w:lang w:val="en-US"/>
              </w:rPr>
            </w:pPr>
          </w:p>
        </w:tc>
        <w:tc>
          <w:tcPr>
            <w:tcW w:w="1999" w:type="dxa"/>
            <w:tcBorders>
              <w:top w:val="single" w:sz="12" w:space="0" w:color="auto"/>
              <w:left w:val="single" w:sz="12" w:space="0" w:color="auto"/>
              <w:bottom w:val="single" w:sz="12" w:space="0" w:color="auto"/>
              <w:right w:val="single" w:sz="12" w:space="0" w:color="auto"/>
            </w:tcBorders>
          </w:tcPr>
          <w:p w14:paraId="52F13D9F" w14:textId="77777777" w:rsidR="00DA6C14" w:rsidRDefault="00DA6C14" w:rsidP="00DA6C14">
            <w:pPr>
              <w:rPr>
                <w:rFonts w:cs="Arial"/>
                <w:color w:val="000000"/>
                <w:lang w:val="en-US"/>
              </w:rPr>
            </w:pPr>
          </w:p>
        </w:tc>
        <w:tc>
          <w:tcPr>
            <w:tcW w:w="2535" w:type="dxa"/>
            <w:tcBorders>
              <w:top w:val="single" w:sz="12" w:space="0" w:color="auto"/>
              <w:left w:val="single" w:sz="12" w:space="0" w:color="auto"/>
              <w:bottom w:val="single" w:sz="12" w:space="0" w:color="auto"/>
              <w:right w:val="single" w:sz="12" w:space="0" w:color="auto"/>
            </w:tcBorders>
          </w:tcPr>
          <w:p w14:paraId="0BD5E644" w14:textId="77777777" w:rsidR="00DA6C14" w:rsidRDefault="00DA6C14" w:rsidP="00DA6C14">
            <w:pPr>
              <w:pStyle w:val="TAL"/>
              <w:rPr>
                <w:rFonts w:cs="Arial"/>
                <w:color w:val="000000"/>
                <w:sz w:val="20"/>
                <w:lang w:val="en-US"/>
              </w:rPr>
            </w:pPr>
          </w:p>
        </w:tc>
        <w:tc>
          <w:tcPr>
            <w:tcW w:w="1918" w:type="dxa"/>
            <w:tcBorders>
              <w:top w:val="single" w:sz="12" w:space="0" w:color="auto"/>
              <w:left w:val="single" w:sz="12" w:space="0" w:color="auto"/>
              <w:bottom w:val="single" w:sz="12" w:space="0" w:color="auto"/>
              <w:right w:val="single" w:sz="12" w:space="0" w:color="auto"/>
            </w:tcBorders>
          </w:tcPr>
          <w:p w14:paraId="27EF6897" w14:textId="77777777" w:rsidR="00DA6C14" w:rsidRDefault="00DA6C14" w:rsidP="00DA6C14">
            <w:pPr>
              <w:pStyle w:val="TAL"/>
              <w:rPr>
                <w:rFonts w:cs="Arial"/>
                <w:color w:val="000000"/>
                <w:sz w:val="20"/>
                <w:lang w:val="en-US"/>
              </w:rPr>
            </w:pPr>
          </w:p>
        </w:tc>
      </w:tr>
      <w:bookmarkEnd w:id="37"/>
    </w:tbl>
    <w:p w14:paraId="6B3E36FC" w14:textId="77777777" w:rsidR="000761A4" w:rsidRPr="000761A4" w:rsidRDefault="000761A4" w:rsidP="000761A4">
      <w:pPr>
        <w:rPr>
          <w:rFonts w:asciiTheme="minorHAnsi" w:eastAsiaTheme="minorHAnsi" w:hAnsiTheme="minorHAnsi" w:cstheme="minorBidi"/>
          <w:sz w:val="22"/>
          <w:szCs w:val="22"/>
          <w:lang w:val="en-US" w:eastAsia="en-US"/>
        </w:rPr>
      </w:pPr>
    </w:p>
    <w:p w14:paraId="12D9DD44" w14:textId="77777777" w:rsidR="00623D9D" w:rsidRDefault="00623D9D" w:rsidP="00623D9D">
      <w:pPr>
        <w:pStyle w:val="BodyText"/>
      </w:pPr>
    </w:p>
    <w:p w14:paraId="4B0A34AC" w14:textId="77777777" w:rsidR="00D377EA" w:rsidRPr="00CE0424" w:rsidRDefault="00D377EA" w:rsidP="00D377EA">
      <w:pPr>
        <w:pStyle w:val="Observation"/>
        <w:numPr>
          <w:ilvl w:val="0"/>
          <w:numId w:val="0"/>
        </w:numPr>
      </w:pPr>
    </w:p>
    <w:p w14:paraId="6F6561C6" w14:textId="77777777" w:rsidR="003742AC" w:rsidRDefault="00B07A1A" w:rsidP="00B07A1A">
      <w:pPr>
        <w:pStyle w:val="Heading3"/>
      </w:pPr>
      <w:r>
        <w:t>Further traffic attributes</w:t>
      </w:r>
    </w:p>
    <w:p w14:paraId="1F64D428" w14:textId="77777777" w:rsidR="00B07A1A" w:rsidRDefault="00B07A1A" w:rsidP="00CE0424">
      <w:pPr>
        <w:pStyle w:val="BodyText"/>
      </w:pPr>
      <w:r>
        <w:t xml:space="preserve">SA2 LS informs RAN2 </w:t>
      </w:r>
      <w:r w:rsidR="00413A04">
        <w:t>raises a concern about the feasibility</w:t>
      </w:r>
      <w:r>
        <w:t xml:space="preserve"> to provide further traffic attributes like packet size, packet arrival rate, activity factor, and data rates</w:t>
      </w:r>
      <w:r w:rsidR="005E55ED">
        <w:t xml:space="preserve"> etc</w:t>
      </w:r>
      <w:r w:rsidR="00AD52AE">
        <w:t>. The sourcing compani</w:t>
      </w:r>
      <w:r w:rsidR="008F6761">
        <w:t xml:space="preserve">es share this concern and </w:t>
      </w:r>
      <w:r w:rsidR="00AD52AE">
        <w:t xml:space="preserve">would </w:t>
      </w:r>
      <w:r w:rsidR="008F6761">
        <w:t xml:space="preserve">also </w:t>
      </w:r>
      <w:r w:rsidR="00AD52AE">
        <w:t>like to point at the challenge,</w:t>
      </w:r>
      <w:r w:rsidR="00AD52AE" w:rsidRPr="00AD52AE">
        <w:t xml:space="preserve"> </w:t>
      </w:r>
      <w:r w:rsidR="00AD52AE">
        <w:t>given</w:t>
      </w:r>
      <w:r w:rsidR="00242300">
        <w:t xml:space="preserve"> the potential frequent</w:t>
      </w:r>
      <w:r w:rsidR="00AD52AE">
        <w:t xml:space="preserve"> modifications provided to applications, to provide information </w:t>
      </w:r>
      <w:r w:rsidR="005E55ED">
        <w:t xml:space="preserve">to the 3GPP RAN </w:t>
      </w:r>
      <w:r w:rsidR="00AD52AE">
        <w:t>that is up-to-date.</w:t>
      </w:r>
      <w:r w:rsidR="00242300">
        <w:t xml:space="preserve"> Additionally, it is assumed to be difficult </w:t>
      </w:r>
      <w:r w:rsidR="00D518CD">
        <w:t xml:space="preserve">and cumbersome </w:t>
      </w:r>
      <w:r w:rsidR="00242300">
        <w:t>to agree on attributes that are understood in same manner</w:t>
      </w:r>
      <w:r w:rsidR="001D24D4">
        <w:t xml:space="preserve"> and that still provide significant informat</w:t>
      </w:r>
      <w:r w:rsidR="00CF5D9A">
        <w:t>ion that can be actually used by</w:t>
      </w:r>
      <w:r w:rsidR="001D24D4">
        <w:t xml:space="preserve"> the vendor specific RRM algorithms.</w:t>
      </w:r>
    </w:p>
    <w:p w14:paraId="7A2BB34E" w14:textId="39D11915" w:rsidR="006A30FE" w:rsidRPr="00BA11B6" w:rsidRDefault="00BA11B6" w:rsidP="00FC153A">
      <w:pPr>
        <w:pStyle w:val="Observation"/>
      </w:pPr>
      <w:bookmarkStart w:id="38" w:name="_Toc498643630"/>
      <w:bookmarkStart w:id="39" w:name="_Toc498643803"/>
      <w:bookmarkStart w:id="40" w:name="_Toc498643973"/>
      <w:r w:rsidRPr="00BA11B6">
        <w:t>A</w:t>
      </w:r>
      <w:r w:rsidR="006A30FE" w:rsidRPr="00BA11B6">
        <w:t>ttributes that can provide significant information</w:t>
      </w:r>
      <w:r>
        <w:t xml:space="preserve"> to vendors specific RRM</w:t>
      </w:r>
      <w:r w:rsidRPr="00BA11B6">
        <w:t xml:space="preserve"> and that can be understood in a common manner are difficult to specify. Ensuring that these </w:t>
      </w:r>
      <w:r w:rsidRPr="00BA11B6">
        <w:lastRenderedPageBreak/>
        <w:t>attributes are updated following changes of the applications can be very challenging.</w:t>
      </w:r>
      <w:bookmarkEnd w:id="38"/>
      <w:bookmarkEnd w:id="39"/>
      <w:bookmarkEnd w:id="40"/>
    </w:p>
    <w:p w14:paraId="798AC10D" w14:textId="77777777" w:rsidR="00AD52AE" w:rsidRDefault="00AD52AE" w:rsidP="00CE0424">
      <w:pPr>
        <w:pStyle w:val="BodyText"/>
      </w:pPr>
      <w:r>
        <w:t xml:space="preserve">The </w:t>
      </w:r>
      <w:r w:rsidR="007D0B74">
        <w:t xml:space="preserve">SA2 LS </w:t>
      </w:r>
      <w:r>
        <w:t>proposal to let RAN learn the significant attributes of a traffic flow appear</w:t>
      </w:r>
      <w:r w:rsidR="002861A8">
        <w:t>s thus</w:t>
      </w:r>
      <w:r>
        <w:t xml:space="preserve"> to be </w:t>
      </w:r>
      <w:r w:rsidR="00A31A2B">
        <w:t>a</w:t>
      </w:r>
      <w:r w:rsidR="00CE0961">
        <w:t xml:space="preserve"> </w:t>
      </w:r>
      <w:r>
        <w:t>compelling</w:t>
      </w:r>
      <w:r w:rsidR="00301C68">
        <w:t xml:space="preserve"> proposal</w:t>
      </w:r>
      <w:r>
        <w:t xml:space="preserve"> as such </w:t>
      </w:r>
      <w:r w:rsidR="00D32209">
        <w:t xml:space="preserve">attributes </w:t>
      </w:r>
      <w:r>
        <w:t>will be always up-to-date with regards to the latest</w:t>
      </w:r>
      <w:r w:rsidR="003F5894">
        <w:t xml:space="preserve"> updates of the application</w:t>
      </w:r>
      <w:r w:rsidR="00242300">
        <w:t xml:space="preserve"> </w:t>
      </w:r>
      <w:r w:rsidR="00BC1941">
        <w:t>as well as</w:t>
      </w:r>
      <w:r>
        <w:t xml:space="preserve"> can be very specific to fit a vendor specific RRM algorithms</w:t>
      </w:r>
      <w:r w:rsidR="00517ACF">
        <w:t xml:space="preserve"> assumed being</w:t>
      </w:r>
      <w:r w:rsidR="00123958">
        <w:t xml:space="preserve"> required to meet scenarios with such tight requirement</w:t>
      </w:r>
      <w:r w:rsidR="00BA5083">
        <w:t>s. Hence</w:t>
      </w:r>
      <w:r w:rsidR="00123958">
        <w:t xml:space="preserve"> </w:t>
      </w:r>
      <w:r w:rsidR="003A36B7">
        <w:t>the sourcing companies support the proposal to</w:t>
      </w:r>
      <w:r w:rsidR="009A33B2">
        <w:t xml:space="preserve"> introduce a concept of a container</w:t>
      </w:r>
      <w:r w:rsidR="00123958">
        <w:t xml:space="preserve"> </w:t>
      </w:r>
      <w:r w:rsidR="009A33B2">
        <w:t xml:space="preserve">to store vendor specific attributes </w:t>
      </w:r>
      <w:r w:rsidR="00123958">
        <w:t>that can be stored in the MME</w:t>
      </w:r>
      <w:r w:rsidR="008C24ED">
        <w:t xml:space="preserve"> (transparent to the MME)</w:t>
      </w:r>
      <w:r w:rsidR="00123958">
        <w:t xml:space="preserve"> at Connected to Idle transition and provided to RAN at next Idle to Connected transition. </w:t>
      </w:r>
      <w:r w:rsidR="008C24ED">
        <w:t>It shall be also possible to transfer this container between RAN nodes at appropriate procedures (e.g. X2 handover).</w:t>
      </w:r>
      <w:r w:rsidR="009814F0">
        <w:t xml:space="preserve"> Additional means</w:t>
      </w:r>
      <w:r w:rsidR="0021304F">
        <w:t xml:space="preserve"> to ensure that the originator of</w:t>
      </w:r>
      <w:r w:rsidR="002C3F08">
        <w:t xml:space="preserve"> specific containers is</w:t>
      </w:r>
      <w:r w:rsidR="009814F0">
        <w:t xml:space="preserve"> identified needs to be provided.</w:t>
      </w:r>
    </w:p>
    <w:p w14:paraId="5B1D0A87" w14:textId="4C46A5B7" w:rsidR="002058CE" w:rsidRPr="001F6966" w:rsidRDefault="008C24ED" w:rsidP="00FC153A">
      <w:pPr>
        <w:pStyle w:val="Proposal"/>
      </w:pPr>
      <w:bookmarkStart w:id="41" w:name="_Toc498643634"/>
      <w:bookmarkStart w:id="42" w:name="_Toc498643807"/>
      <w:bookmarkStart w:id="43" w:name="_Toc498643968"/>
      <w:r w:rsidRPr="001F6966">
        <w:t>It is proposed to introduce</w:t>
      </w:r>
      <w:r w:rsidR="00CE3208" w:rsidRPr="001F6966">
        <w:t xml:space="preserve"> the concept of containers to carry vendors’ specific attributes aiding RAN in RRM for the URLLC scenarios, e.g. at admission control.</w:t>
      </w:r>
      <w:bookmarkEnd w:id="41"/>
      <w:bookmarkEnd w:id="42"/>
      <w:bookmarkEnd w:id="43"/>
    </w:p>
    <w:p w14:paraId="0429D229" w14:textId="77777777" w:rsidR="003742AC" w:rsidRPr="00CE0424" w:rsidRDefault="003742AC" w:rsidP="006E062C"/>
    <w:p w14:paraId="53701EB3" w14:textId="77777777" w:rsidR="00C01F33" w:rsidRPr="00CE0424" w:rsidRDefault="00C01F33" w:rsidP="00CE0424">
      <w:pPr>
        <w:pStyle w:val="Heading1"/>
      </w:pPr>
      <w:r w:rsidRPr="00CE0424">
        <w:t>Conclusion</w:t>
      </w:r>
    </w:p>
    <w:p w14:paraId="0F568E86" w14:textId="77777777" w:rsidR="00812048" w:rsidRDefault="008E065E">
      <w:pPr>
        <w:pStyle w:val="TOC1"/>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F6966">
        <w:t>2</w:t>
      </w:r>
      <w:r w:rsidRPr="00CE0424">
        <w:rPr>
          <w:highlight w:val="cyan"/>
        </w:rPr>
        <w:fldChar w:fldCharType="end"/>
      </w:r>
      <w:r w:rsidRPr="00CE0424">
        <w:t xml:space="preserve"> we </w:t>
      </w:r>
      <w:r>
        <w:t>made the following observations</w:t>
      </w:r>
      <w:r w:rsidRPr="00CE0424">
        <w:t>:</w:t>
      </w:r>
    </w:p>
    <w:p w14:paraId="1B89100E" w14:textId="77777777" w:rsidR="005B3B3E"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5B3B3E">
        <w:t>Observation 1</w:t>
      </w:r>
      <w:r w:rsidR="005B3B3E">
        <w:rPr>
          <w:rFonts w:asciiTheme="minorHAnsi" w:eastAsiaTheme="minorEastAsia" w:hAnsiTheme="minorHAnsi" w:cstheme="minorBidi"/>
          <w:b w:val="0"/>
          <w:sz w:val="22"/>
          <w:lang w:eastAsia="en-US"/>
        </w:rPr>
        <w:tab/>
      </w:r>
      <w:r w:rsidR="005B3B3E">
        <w:t>The PDB values proposed in the SA2 LS do not reflect latencies targeted by RAN in context of the work on low latency.</w:t>
      </w:r>
    </w:p>
    <w:p w14:paraId="743997C3" w14:textId="77777777" w:rsidR="005B3B3E" w:rsidRDefault="005B3B3E">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SA1 TS 22.261 indicates the ambition to provide 3GPP support for scenarios requiring tighter latency requirements than those expressed by the PDB values included in the SA2 LS.</w:t>
      </w:r>
    </w:p>
    <w:p w14:paraId="60801A42" w14:textId="77777777" w:rsidR="005B3B3E" w:rsidRDefault="005B3B3E">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Learned packet sizes or burst sizes are not sufficient to ensure that a service have sufficient coverage to transmit critical application data within the delay requirement.</w:t>
      </w:r>
    </w:p>
    <w:p w14:paraId="2D7C5116" w14:textId="77777777" w:rsidR="005B3B3E" w:rsidRDefault="005B3B3E">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For prioritized services with tight requirements, GBR bearers are better suited than non-GBR.</w:t>
      </w:r>
    </w:p>
    <w:p w14:paraId="153F7D2E" w14:textId="77777777" w:rsidR="005B3B3E" w:rsidRDefault="005B3B3E">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t>Attributes that can provide significant information to vendors specific RRM and that can be understood in a common manner are difficult to specify. Ensuring that these attributes are updated following changes of the applications can be very challenging.</w:t>
      </w:r>
    </w:p>
    <w:p w14:paraId="6E15CC07" w14:textId="77777777" w:rsidR="008E065E" w:rsidRDefault="008E065E" w:rsidP="008E065E">
      <w:pPr>
        <w:pStyle w:val="BodyText"/>
        <w:rPr>
          <w:b/>
          <w:bCs/>
        </w:rPr>
      </w:pPr>
      <w:r>
        <w:rPr>
          <w:b/>
          <w:bCs/>
        </w:rPr>
        <w:fldChar w:fldCharType="end"/>
      </w:r>
    </w:p>
    <w:p w14:paraId="554116D6" w14:textId="77777777" w:rsidR="00812048" w:rsidRDefault="008E065E" w:rsidP="008E065E">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F6966">
        <w:t>2</w:t>
      </w:r>
      <w:r w:rsidRPr="00CE0424">
        <w:rPr>
          <w:highlight w:val="cyan"/>
        </w:rPr>
        <w:fldChar w:fldCharType="end"/>
      </w:r>
      <w:r w:rsidRPr="00CE0424">
        <w:t xml:space="preserve"> we propose the following:</w:t>
      </w:r>
    </w:p>
    <w:p w14:paraId="36754E2E" w14:textId="77777777" w:rsidR="00152D8A"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152D8A">
        <w:t>Proposal 1</w:t>
      </w:r>
      <w:r w:rsidR="00152D8A">
        <w:rPr>
          <w:rFonts w:asciiTheme="minorHAnsi" w:eastAsiaTheme="minorEastAsia" w:hAnsiTheme="minorHAnsi" w:cstheme="minorBidi"/>
          <w:b w:val="0"/>
          <w:sz w:val="22"/>
          <w:lang w:eastAsia="en-US"/>
        </w:rPr>
        <w:tab/>
      </w:r>
      <w:r w:rsidR="00152D8A">
        <w:t>At least one PDB value expressing tighter latency requirements shall be added to the set of standardized QCI(s) for URLLC.</w:t>
      </w:r>
    </w:p>
    <w:p w14:paraId="4D451A3E" w14:textId="77777777" w:rsidR="00152D8A" w:rsidRDefault="00152D8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For the GBR QCI’s for URLLC, a maximum burst size is defined. It defines the largest amount of data that the application can expect to be transmitted within the delay requirement.</w:t>
      </w:r>
    </w:p>
    <w:p w14:paraId="6F0CAD10" w14:textId="77777777" w:rsidR="00152D8A" w:rsidRDefault="00152D8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GBR QCI’s are defined for the discrete automation use case.</w:t>
      </w:r>
    </w:p>
    <w:p w14:paraId="54583845" w14:textId="77777777" w:rsidR="00152D8A" w:rsidRDefault="00152D8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It is proposed to introduce the concept of containers to carry vendors’ specific attributes aiding RAN in RRM for the URLLC scenarios, e.g. at admission control.</w:t>
      </w:r>
    </w:p>
    <w:p w14:paraId="3D15F7F8" w14:textId="619813E5" w:rsidR="008E065E" w:rsidRPr="00CE0424" w:rsidRDefault="008E065E" w:rsidP="008E065E">
      <w:pPr>
        <w:rPr>
          <w:b/>
          <w:bCs/>
        </w:rPr>
      </w:pPr>
      <w:r>
        <w:rPr>
          <w:b/>
          <w:bCs/>
        </w:rPr>
        <w:fldChar w:fldCharType="end"/>
      </w:r>
    </w:p>
    <w:p w14:paraId="0ED6B1F9" w14:textId="77777777" w:rsidR="008E065E" w:rsidRPr="00CE0424" w:rsidRDefault="008E065E" w:rsidP="008E065E">
      <w:pPr>
        <w:rPr>
          <w:b/>
          <w:bCs/>
        </w:rPr>
      </w:pPr>
    </w:p>
    <w:p w14:paraId="5D765EDE" w14:textId="77777777" w:rsidR="00AB0BC8" w:rsidRPr="00CE0424" w:rsidRDefault="00AB0BC8" w:rsidP="00A04F49">
      <w:pPr>
        <w:rPr>
          <w:b/>
          <w:bCs/>
        </w:rPr>
      </w:pPr>
    </w:p>
    <w:p w14:paraId="21225A72" w14:textId="77777777" w:rsidR="00311702" w:rsidRPr="00CE0424" w:rsidRDefault="00311702" w:rsidP="00AB0BC8"/>
    <w:p w14:paraId="3DF47B31" w14:textId="77777777" w:rsidR="00C01F33" w:rsidRPr="00CE0424" w:rsidRDefault="00C01F33" w:rsidP="006E062C"/>
    <w:p w14:paraId="6726CDFB" w14:textId="77777777" w:rsidR="00F507D1" w:rsidRPr="00CE0424" w:rsidRDefault="00F507D1" w:rsidP="00CE0424">
      <w:pPr>
        <w:pStyle w:val="Heading1"/>
      </w:pPr>
      <w:bookmarkStart w:id="44" w:name="_In-sequence_SDU_delivery"/>
      <w:bookmarkEnd w:id="44"/>
      <w:r w:rsidRPr="00CE0424">
        <w:lastRenderedPageBreak/>
        <w:t>References</w:t>
      </w:r>
    </w:p>
    <w:p w14:paraId="09A82D58" w14:textId="49806A68" w:rsidR="001456CF" w:rsidRPr="00FC153A" w:rsidRDefault="001456CF" w:rsidP="006F6B63">
      <w:pPr>
        <w:pStyle w:val="Reference"/>
        <w:rPr>
          <w:rFonts w:eastAsia="Malgun Gothic"/>
          <w:lang w:eastAsia="en-US"/>
        </w:rPr>
      </w:pPr>
      <w:bookmarkStart w:id="45" w:name="_Ref174151459"/>
      <w:bookmarkStart w:id="46" w:name="_Ref189809556"/>
      <w:r w:rsidRPr="006F6B63">
        <w:t>S2</w:t>
      </w:r>
      <w:r>
        <w:t xml:space="preserve">-178150. </w:t>
      </w:r>
      <w:r w:rsidRPr="00F127A7">
        <w:rPr>
          <w:rFonts w:eastAsia="Malgun Gothic"/>
          <w:lang w:eastAsia="en-US"/>
        </w:rPr>
        <w:t xml:space="preserve">Reply LS to </w:t>
      </w:r>
      <w:r>
        <w:rPr>
          <w:rFonts w:eastAsia="Malgun Gothic"/>
          <w:lang w:eastAsia="en-US"/>
        </w:rPr>
        <w:t>RAN 2</w:t>
      </w:r>
      <w:r w:rsidRPr="00F127A7">
        <w:rPr>
          <w:rFonts w:eastAsia="Malgun Gothic"/>
          <w:lang w:eastAsia="en-US"/>
        </w:rPr>
        <w:t xml:space="preserve"> on </w:t>
      </w:r>
      <w:r>
        <w:rPr>
          <w:rFonts w:eastAsia="Malgun Gothic"/>
          <w:lang w:eastAsia="en-US"/>
        </w:rPr>
        <w:t>QCIs</w:t>
      </w:r>
      <w:r w:rsidRPr="00F127A7">
        <w:rPr>
          <w:rFonts w:eastAsia="Malgun Gothic"/>
          <w:lang w:eastAsia="en-US"/>
        </w:rPr>
        <w:t xml:space="preserve"> for </w:t>
      </w:r>
      <w:r>
        <w:rPr>
          <w:rFonts w:eastAsia="Malgun Gothic"/>
          <w:lang w:eastAsia="en-US"/>
        </w:rPr>
        <w:t xml:space="preserve">EPC based </w:t>
      </w:r>
      <w:r w:rsidRPr="00F127A7">
        <w:rPr>
          <w:rFonts w:eastAsia="Malgun Gothic"/>
          <w:lang w:eastAsia="en-US"/>
        </w:rPr>
        <w:t>ULLC</w:t>
      </w:r>
      <w:r>
        <w:rPr>
          <w:rFonts w:eastAsia="Malgun Gothic"/>
          <w:lang w:eastAsia="en-US"/>
        </w:rPr>
        <w:t xml:space="preserve">. </w:t>
      </w:r>
      <w:r>
        <w:t>SA WG2 Meeting #S2-123. 23 - 27 October 2017, Ljubljana, Slovenia</w:t>
      </w:r>
    </w:p>
    <w:p w14:paraId="5E7EE6D4" w14:textId="0DE4BD6C" w:rsidR="005E680D" w:rsidRPr="00FC153A" w:rsidRDefault="005E680D" w:rsidP="00F0716A">
      <w:pPr>
        <w:pStyle w:val="Reference"/>
        <w:rPr>
          <w:rFonts w:eastAsia="Malgun Gothic"/>
          <w:lang w:eastAsia="en-US"/>
        </w:rPr>
      </w:pPr>
      <w:r w:rsidRPr="005E680D">
        <w:rPr>
          <w:rFonts w:eastAsia="Malgun Gothic"/>
          <w:lang w:eastAsia="en-US"/>
        </w:rPr>
        <w:t>R1-1715089</w:t>
      </w:r>
      <w:r>
        <w:rPr>
          <w:rFonts w:eastAsia="Malgun Gothic"/>
          <w:lang w:eastAsia="en-US"/>
        </w:rPr>
        <w:t xml:space="preserve">. </w:t>
      </w:r>
      <w:r w:rsidRPr="00D7037D">
        <w:t>LS on response to EPC QoS aspects for TSG RAN’s lower latency features</w:t>
      </w:r>
      <w:r>
        <w:t xml:space="preserve">. </w:t>
      </w:r>
      <w:r w:rsidRPr="005E680D">
        <w:t>3GPP TSG RAN WG1 #90</w:t>
      </w:r>
      <w:r>
        <w:t xml:space="preserve">. </w:t>
      </w:r>
      <w:r w:rsidRPr="005E680D">
        <w:t>Prague, Czech Republic, 21-25 August 2017</w:t>
      </w:r>
    </w:p>
    <w:p w14:paraId="1B43936E" w14:textId="2529844A" w:rsidR="00FC2C9C" w:rsidRDefault="00FC2C9C">
      <w:pPr>
        <w:pStyle w:val="Reference"/>
        <w:rPr>
          <w:rFonts w:eastAsia="Malgun Gothic"/>
          <w:lang w:eastAsia="en-US"/>
        </w:rPr>
      </w:pPr>
      <w:r w:rsidRPr="00FC2C9C">
        <w:rPr>
          <w:rFonts w:eastAsia="Malgun Gothic"/>
          <w:lang w:eastAsia="en-US"/>
        </w:rPr>
        <w:t>3GPP TR 38.913. Study on scenarios and requirements for next generation access technologies. V14.3.0 (2017-06)</w:t>
      </w:r>
    </w:p>
    <w:p w14:paraId="44C4DA3B" w14:textId="721E9E9C" w:rsidR="001B0012" w:rsidRPr="00FC153A" w:rsidRDefault="001B0012">
      <w:pPr>
        <w:pStyle w:val="Reference"/>
        <w:rPr>
          <w:rFonts w:eastAsia="Malgun Gothic"/>
          <w:lang w:eastAsia="en-US"/>
        </w:rPr>
      </w:pPr>
      <w:r w:rsidRPr="001B0012">
        <w:rPr>
          <w:rFonts w:eastAsia="Malgun Gothic"/>
          <w:lang w:eastAsia="en-US"/>
        </w:rPr>
        <w:t>3GPP TS 22.261</w:t>
      </w:r>
      <w:r>
        <w:rPr>
          <w:rFonts w:eastAsia="Malgun Gothic"/>
          <w:lang w:eastAsia="en-US"/>
        </w:rPr>
        <w:t>.</w:t>
      </w:r>
      <w:r w:rsidRPr="001B0012">
        <w:rPr>
          <w:rFonts w:eastAsia="Malgun Gothic"/>
          <w:lang w:eastAsia="en-US"/>
        </w:rPr>
        <w:t xml:space="preserve"> Service requirements for the 5G system.</w:t>
      </w:r>
      <w:r>
        <w:rPr>
          <w:rFonts w:eastAsia="Malgun Gothic"/>
          <w:lang w:eastAsia="en-US"/>
        </w:rPr>
        <w:t xml:space="preserve"> SA1.</w:t>
      </w:r>
      <w:r w:rsidRPr="001B0012">
        <w:rPr>
          <w:rFonts w:eastAsia="Malgun Gothic"/>
          <w:lang w:eastAsia="en-US"/>
        </w:rPr>
        <w:t xml:space="preserve"> V16.1.0. (2017-09)</w:t>
      </w:r>
    </w:p>
    <w:p w14:paraId="18A54E3B" w14:textId="23C0DA07" w:rsidR="00996AEB" w:rsidRPr="00FC153A" w:rsidRDefault="00996AEB">
      <w:pPr>
        <w:pStyle w:val="Reference"/>
      </w:pPr>
      <w:r w:rsidRPr="00FC153A">
        <w:t xml:space="preserve">R1-1715098. </w:t>
      </w:r>
      <w:r w:rsidRPr="006F6B63">
        <w:t>WF on CBG construction.</w:t>
      </w:r>
      <w:r w:rsidRPr="00CB26B1">
        <w:t xml:space="preserve"> </w:t>
      </w:r>
      <w:r w:rsidRPr="00FC153A">
        <w:t>Huawei, HiSilicon, OPPO, AT&amp;T, Samsung</w:t>
      </w:r>
      <w:r w:rsidRPr="00FC153A">
        <w:rPr>
          <w:rFonts w:eastAsiaTheme="minorEastAsia"/>
        </w:rPr>
        <w:t xml:space="preserve">. </w:t>
      </w:r>
      <w:r w:rsidRPr="00FC153A">
        <w:t>RAN WG1 Meeting #90. Prague, Czech Republic, 21 - 25 August 2017</w:t>
      </w:r>
    </w:p>
    <w:bookmarkEnd w:id="45"/>
    <w:bookmarkEnd w:id="46"/>
    <w:p w14:paraId="5B61BC50"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C5C6E" w14:textId="77777777" w:rsidR="004B0E58" w:rsidRDefault="004B0E58">
      <w:r>
        <w:separator/>
      </w:r>
    </w:p>
  </w:endnote>
  <w:endnote w:type="continuationSeparator" w:id="0">
    <w:p w14:paraId="3EFF3340" w14:textId="77777777" w:rsidR="004B0E58" w:rsidRDefault="004B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90835" w14:textId="677B6BE2" w:rsidR="00266155" w:rsidRDefault="002661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C153A">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C153A">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3BDF0" w14:textId="77777777" w:rsidR="004B0E58" w:rsidRDefault="004B0E58">
      <w:r>
        <w:separator/>
      </w:r>
    </w:p>
  </w:footnote>
  <w:footnote w:type="continuationSeparator" w:id="0">
    <w:p w14:paraId="798D6D6C" w14:textId="77777777" w:rsidR="004B0E58" w:rsidRDefault="004B0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29924" w14:textId="77777777" w:rsidR="00266155" w:rsidRDefault="0026615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085933"/>
    <w:multiLevelType w:val="hybridMultilevel"/>
    <w:tmpl w:val="0D42FC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966"/>
    <w:rsid w:val="000006E1"/>
    <w:rsid w:val="00002A37"/>
    <w:rsid w:val="000039F4"/>
    <w:rsid w:val="00006446"/>
    <w:rsid w:val="00006896"/>
    <w:rsid w:val="00007CDC"/>
    <w:rsid w:val="00011B28"/>
    <w:rsid w:val="0001529F"/>
    <w:rsid w:val="00015D15"/>
    <w:rsid w:val="00023A4C"/>
    <w:rsid w:val="000252F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358"/>
    <w:rsid w:val="000761A4"/>
    <w:rsid w:val="00077E5F"/>
    <w:rsid w:val="0008036A"/>
    <w:rsid w:val="00081AE6"/>
    <w:rsid w:val="000855EB"/>
    <w:rsid w:val="00085B52"/>
    <w:rsid w:val="000866F2"/>
    <w:rsid w:val="0009009F"/>
    <w:rsid w:val="00091557"/>
    <w:rsid w:val="0009227B"/>
    <w:rsid w:val="000924C1"/>
    <w:rsid w:val="000924F0"/>
    <w:rsid w:val="00093474"/>
    <w:rsid w:val="0009510F"/>
    <w:rsid w:val="000A1B7B"/>
    <w:rsid w:val="000A4EC3"/>
    <w:rsid w:val="000A56F2"/>
    <w:rsid w:val="000A7407"/>
    <w:rsid w:val="000A7E74"/>
    <w:rsid w:val="000B0B02"/>
    <w:rsid w:val="000B2719"/>
    <w:rsid w:val="000B3A8F"/>
    <w:rsid w:val="000B4AB9"/>
    <w:rsid w:val="000B58C3"/>
    <w:rsid w:val="000B61E9"/>
    <w:rsid w:val="000B623C"/>
    <w:rsid w:val="000C165A"/>
    <w:rsid w:val="000C2E19"/>
    <w:rsid w:val="000D0D07"/>
    <w:rsid w:val="000D4797"/>
    <w:rsid w:val="000E0527"/>
    <w:rsid w:val="000E1E92"/>
    <w:rsid w:val="000F06D6"/>
    <w:rsid w:val="000F0EB1"/>
    <w:rsid w:val="000F1106"/>
    <w:rsid w:val="000F15BF"/>
    <w:rsid w:val="000F3BE9"/>
    <w:rsid w:val="000F3F6C"/>
    <w:rsid w:val="000F6DF3"/>
    <w:rsid w:val="001005FF"/>
    <w:rsid w:val="001062FB"/>
    <w:rsid w:val="001063E6"/>
    <w:rsid w:val="00113CF4"/>
    <w:rsid w:val="001153EA"/>
    <w:rsid w:val="00115643"/>
    <w:rsid w:val="00116765"/>
    <w:rsid w:val="001219F5"/>
    <w:rsid w:val="00121A20"/>
    <w:rsid w:val="0012377F"/>
    <w:rsid w:val="00123958"/>
    <w:rsid w:val="00124314"/>
    <w:rsid w:val="00126B4A"/>
    <w:rsid w:val="00132FD0"/>
    <w:rsid w:val="001344C0"/>
    <w:rsid w:val="001346FA"/>
    <w:rsid w:val="00135252"/>
    <w:rsid w:val="00137AB5"/>
    <w:rsid w:val="00137F0B"/>
    <w:rsid w:val="001456CF"/>
    <w:rsid w:val="00151E23"/>
    <w:rsid w:val="001526E0"/>
    <w:rsid w:val="00152D8A"/>
    <w:rsid w:val="001551B5"/>
    <w:rsid w:val="001659C1"/>
    <w:rsid w:val="00171A8A"/>
    <w:rsid w:val="001737BD"/>
    <w:rsid w:val="00173A8E"/>
    <w:rsid w:val="00177795"/>
    <w:rsid w:val="0018143F"/>
    <w:rsid w:val="00186FD9"/>
    <w:rsid w:val="00190AC1"/>
    <w:rsid w:val="0019341A"/>
    <w:rsid w:val="00197DF9"/>
    <w:rsid w:val="001A1987"/>
    <w:rsid w:val="001A2564"/>
    <w:rsid w:val="001A6173"/>
    <w:rsid w:val="001A6CBA"/>
    <w:rsid w:val="001B0012"/>
    <w:rsid w:val="001B0D97"/>
    <w:rsid w:val="001B5A5D"/>
    <w:rsid w:val="001C1CE5"/>
    <w:rsid w:val="001C3073"/>
    <w:rsid w:val="001C3D2A"/>
    <w:rsid w:val="001D05D8"/>
    <w:rsid w:val="001D24D4"/>
    <w:rsid w:val="001D51BA"/>
    <w:rsid w:val="001D6342"/>
    <w:rsid w:val="001D6D53"/>
    <w:rsid w:val="001E55C3"/>
    <w:rsid w:val="001E58E2"/>
    <w:rsid w:val="001E7AED"/>
    <w:rsid w:val="001F3916"/>
    <w:rsid w:val="001F54C5"/>
    <w:rsid w:val="001F6591"/>
    <w:rsid w:val="001F662C"/>
    <w:rsid w:val="001F6966"/>
    <w:rsid w:val="001F7074"/>
    <w:rsid w:val="00200490"/>
    <w:rsid w:val="00201F3A"/>
    <w:rsid w:val="00203F96"/>
    <w:rsid w:val="002058CE"/>
    <w:rsid w:val="002069B2"/>
    <w:rsid w:val="00207FA3"/>
    <w:rsid w:val="00210318"/>
    <w:rsid w:val="0021304F"/>
    <w:rsid w:val="00214DA8"/>
    <w:rsid w:val="00215423"/>
    <w:rsid w:val="002158FA"/>
    <w:rsid w:val="00220600"/>
    <w:rsid w:val="002224DB"/>
    <w:rsid w:val="00223FCB"/>
    <w:rsid w:val="002252C3"/>
    <w:rsid w:val="00225C54"/>
    <w:rsid w:val="00226242"/>
    <w:rsid w:val="00230765"/>
    <w:rsid w:val="002319E4"/>
    <w:rsid w:val="00235632"/>
    <w:rsid w:val="00235872"/>
    <w:rsid w:val="00241559"/>
    <w:rsid w:val="00242300"/>
    <w:rsid w:val="002435B3"/>
    <w:rsid w:val="002458EB"/>
    <w:rsid w:val="002500C8"/>
    <w:rsid w:val="0025157C"/>
    <w:rsid w:val="0025519D"/>
    <w:rsid w:val="00256492"/>
    <w:rsid w:val="00257543"/>
    <w:rsid w:val="002617E7"/>
    <w:rsid w:val="00264228"/>
    <w:rsid w:val="00264334"/>
    <w:rsid w:val="0026473E"/>
    <w:rsid w:val="00266155"/>
    <w:rsid w:val="00266214"/>
    <w:rsid w:val="002668F1"/>
    <w:rsid w:val="00267C83"/>
    <w:rsid w:val="0027144F"/>
    <w:rsid w:val="00271F3A"/>
    <w:rsid w:val="00273278"/>
    <w:rsid w:val="002737F4"/>
    <w:rsid w:val="002805F5"/>
    <w:rsid w:val="00280751"/>
    <w:rsid w:val="0028280A"/>
    <w:rsid w:val="002861A8"/>
    <w:rsid w:val="00286ACD"/>
    <w:rsid w:val="00287838"/>
    <w:rsid w:val="002907B5"/>
    <w:rsid w:val="00291A53"/>
    <w:rsid w:val="00292EB7"/>
    <w:rsid w:val="0029360B"/>
    <w:rsid w:val="00296227"/>
    <w:rsid w:val="00296F44"/>
    <w:rsid w:val="0029777D"/>
    <w:rsid w:val="002A055E"/>
    <w:rsid w:val="002A1D4E"/>
    <w:rsid w:val="002A2869"/>
    <w:rsid w:val="002B24D6"/>
    <w:rsid w:val="002C3F08"/>
    <w:rsid w:val="002C41E6"/>
    <w:rsid w:val="002D071A"/>
    <w:rsid w:val="002D34B2"/>
    <w:rsid w:val="002D738A"/>
    <w:rsid w:val="002D7637"/>
    <w:rsid w:val="002E17F2"/>
    <w:rsid w:val="002E7CAE"/>
    <w:rsid w:val="002F2771"/>
    <w:rsid w:val="002F37A9"/>
    <w:rsid w:val="00301C68"/>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A0D"/>
    <w:rsid w:val="00336BDA"/>
    <w:rsid w:val="00342BD7"/>
    <w:rsid w:val="00343A07"/>
    <w:rsid w:val="00346DB5"/>
    <w:rsid w:val="003477B1"/>
    <w:rsid w:val="0035491B"/>
    <w:rsid w:val="00357380"/>
    <w:rsid w:val="003602D9"/>
    <w:rsid w:val="003604CE"/>
    <w:rsid w:val="00370E47"/>
    <w:rsid w:val="00373768"/>
    <w:rsid w:val="003742AC"/>
    <w:rsid w:val="00377282"/>
    <w:rsid w:val="00377CE1"/>
    <w:rsid w:val="00383979"/>
    <w:rsid w:val="00385BF0"/>
    <w:rsid w:val="003939FF"/>
    <w:rsid w:val="003A2223"/>
    <w:rsid w:val="003A2A0F"/>
    <w:rsid w:val="003A36B7"/>
    <w:rsid w:val="003A45A1"/>
    <w:rsid w:val="003A4B5D"/>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3FAB"/>
    <w:rsid w:val="003E55E4"/>
    <w:rsid w:val="003E74E3"/>
    <w:rsid w:val="003F05C7"/>
    <w:rsid w:val="003F2CD4"/>
    <w:rsid w:val="003F5894"/>
    <w:rsid w:val="003F6BBE"/>
    <w:rsid w:val="004000E8"/>
    <w:rsid w:val="00402E2B"/>
    <w:rsid w:val="0040512B"/>
    <w:rsid w:val="00405CA5"/>
    <w:rsid w:val="00407CD3"/>
    <w:rsid w:val="00410134"/>
    <w:rsid w:val="00410B72"/>
    <w:rsid w:val="00410F18"/>
    <w:rsid w:val="0041263E"/>
    <w:rsid w:val="00413A04"/>
    <w:rsid w:val="00413AAC"/>
    <w:rsid w:val="00421105"/>
    <w:rsid w:val="004242F4"/>
    <w:rsid w:val="00427248"/>
    <w:rsid w:val="004331E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0E58"/>
    <w:rsid w:val="004B7C0C"/>
    <w:rsid w:val="004C2D8E"/>
    <w:rsid w:val="004C2DB9"/>
    <w:rsid w:val="004C3898"/>
    <w:rsid w:val="004C5B71"/>
    <w:rsid w:val="004D36B1"/>
    <w:rsid w:val="004D7EBD"/>
    <w:rsid w:val="004E041C"/>
    <w:rsid w:val="004E2680"/>
    <w:rsid w:val="004E28F9"/>
    <w:rsid w:val="004E3BB3"/>
    <w:rsid w:val="004E44F1"/>
    <w:rsid w:val="004E462E"/>
    <w:rsid w:val="004E56DC"/>
    <w:rsid w:val="004E76F4"/>
    <w:rsid w:val="004F0B4E"/>
    <w:rsid w:val="004F0B6C"/>
    <w:rsid w:val="004F2078"/>
    <w:rsid w:val="004F4DA3"/>
    <w:rsid w:val="00506557"/>
    <w:rsid w:val="0050677A"/>
    <w:rsid w:val="005108D8"/>
    <w:rsid w:val="005116F9"/>
    <w:rsid w:val="00512B5B"/>
    <w:rsid w:val="0051453A"/>
    <w:rsid w:val="005153A7"/>
    <w:rsid w:val="00517ACF"/>
    <w:rsid w:val="00521833"/>
    <w:rsid w:val="005219CF"/>
    <w:rsid w:val="005256D6"/>
    <w:rsid w:val="00534B59"/>
    <w:rsid w:val="00536759"/>
    <w:rsid w:val="00537C62"/>
    <w:rsid w:val="00546970"/>
    <w:rsid w:val="005502E0"/>
    <w:rsid w:val="00554E19"/>
    <w:rsid w:val="00557973"/>
    <w:rsid w:val="0056121F"/>
    <w:rsid w:val="00565F65"/>
    <w:rsid w:val="00572505"/>
    <w:rsid w:val="00582809"/>
    <w:rsid w:val="005832FB"/>
    <w:rsid w:val="0058798C"/>
    <w:rsid w:val="005900FA"/>
    <w:rsid w:val="005935A4"/>
    <w:rsid w:val="005948C2"/>
    <w:rsid w:val="00595DCA"/>
    <w:rsid w:val="00596663"/>
    <w:rsid w:val="0059779B"/>
    <w:rsid w:val="005A1AB8"/>
    <w:rsid w:val="005A209A"/>
    <w:rsid w:val="005A662D"/>
    <w:rsid w:val="005B22A9"/>
    <w:rsid w:val="005B35D7"/>
    <w:rsid w:val="005B392A"/>
    <w:rsid w:val="005B3AA3"/>
    <w:rsid w:val="005B3B3E"/>
    <w:rsid w:val="005B591A"/>
    <w:rsid w:val="005B6F83"/>
    <w:rsid w:val="005C74FB"/>
    <w:rsid w:val="005D1602"/>
    <w:rsid w:val="005D2BEA"/>
    <w:rsid w:val="005D5362"/>
    <w:rsid w:val="005E03C7"/>
    <w:rsid w:val="005E385F"/>
    <w:rsid w:val="005E55ED"/>
    <w:rsid w:val="005E5B81"/>
    <w:rsid w:val="005E680D"/>
    <w:rsid w:val="005F2CB1"/>
    <w:rsid w:val="005F3025"/>
    <w:rsid w:val="005F31D8"/>
    <w:rsid w:val="005F618C"/>
    <w:rsid w:val="005F70BD"/>
    <w:rsid w:val="0060283C"/>
    <w:rsid w:val="00604F14"/>
    <w:rsid w:val="00611B83"/>
    <w:rsid w:val="00613257"/>
    <w:rsid w:val="00620A71"/>
    <w:rsid w:val="00620D80"/>
    <w:rsid w:val="006234A6"/>
    <w:rsid w:val="00623D9D"/>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2A9"/>
    <w:rsid w:val="00656A92"/>
    <w:rsid w:val="00656DDE"/>
    <w:rsid w:val="00657031"/>
    <w:rsid w:val="0066011D"/>
    <w:rsid w:val="006607C0"/>
    <w:rsid w:val="006613A6"/>
    <w:rsid w:val="006627A2"/>
    <w:rsid w:val="006634E6"/>
    <w:rsid w:val="006655EE"/>
    <w:rsid w:val="00665EE9"/>
    <w:rsid w:val="00667EE7"/>
    <w:rsid w:val="00670922"/>
    <w:rsid w:val="00670BE1"/>
    <w:rsid w:val="006714A4"/>
    <w:rsid w:val="0067218F"/>
    <w:rsid w:val="006741F2"/>
    <w:rsid w:val="00674CC3"/>
    <w:rsid w:val="00675C72"/>
    <w:rsid w:val="006771F9"/>
    <w:rsid w:val="006776D7"/>
    <w:rsid w:val="00681003"/>
    <w:rsid w:val="006815F6"/>
    <w:rsid w:val="006817C9"/>
    <w:rsid w:val="00683ECE"/>
    <w:rsid w:val="00692F0F"/>
    <w:rsid w:val="00695FC2"/>
    <w:rsid w:val="00696949"/>
    <w:rsid w:val="00697052"/>
    <w:rsid w:val="006A30FE"/>
    <w:rsid w:val="006A46FB"/>
    <w:rsid w:val="006A5E28"/>
    <w:rsid w:val="006A697B"/>
    <w:rsid w:val="006A7AFF"/>
    <w:rsid w:val="006B1816"/>
    <w:rsid w:val="006B2099"/>
    <w:rsid w:val="006B50CF"/>
    <w:rsid w:val="006C03B8"/>
    <w:rsid w:val="006C5EC9"/>
    <w:rsid w:val="006C6059"/>
    <w:rsid w:val="006C7522"/>
    <w:rsid w:val="006D1E26"/>
    <w:rsid w:val="006D3446"/>
    <w:rsid w:val="006D474C"/>
    <w:rsid w:val="006D6F08"/>
    <w:rsid w:val="006E054A"/>
    <w:rsid w:val="006E062C"/>
    <w:rsid w:val="006E28B7"/>
    <w:rsid w:val="006E3310"/>
    <w:rsid w:val="006E4E39"/>
    <w:rsid w:val="006E565E"/>
    <w:rsid w:val="006E5DE2"/>
    <w:rsid w:val="006E673D"/>
    <w:rsid w:val="006E7D3B"/>
    <w:rsid w:val="006F1B70"/>
    <w:rsid w:val="006F341D"/>
    <w:rsid w:val="006F3CDE"/>
    <w:rsid w:val="006F58D4"/>
    <w:rsid w:val="006F6B63"/>
    <w:rsid w:val="00700EF5"/>
    <w:rsid w:val="0070346E"/>
    <w:rsid w:val="00704EDB"/>
    <w:rsid w:val="00706101"/>
    <w:rsid w:val="00707072"/>
    <w:rsid w:val="007079D4"/>
    <w:rsid w:val="00707D61"/>
    <w:rsid w:val="00712287"/>
    <w:rsid w:val="00712772"/>
    <w:rsid w:val="007148D3"/>
    <w:rsid w:val="00715B9A"/>
    <w:rsid w:val="00725D8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2AA"/>
    <w:rsid w:val="0078177E"/>
    <w:rsid w:val="0078304C"/>
    <w:rsid w:val="00783673"/>
    <w:rsid w:val="00785490"/>
    <w:rsid w:val="007925EA"/>
    <w:rsid w:val="00793CD8"/>
    <w:rsid w:val="00795C92"/>
    <w:rsid w:val="00796231"/>
    <w:rsid w:val="007A1CB3"/>
    <w:rsid w:val="007A306F"/>
    <w:rsid w:val="007A43A6"/>
    <w:rsid w:val="007A58A6"/>
    <w:rsid w:val="007A7F43"/>
    <w:rsid w:val="007B3D2D"/>
    <w:rsid w:val="007B50AE"/>
    <w:rsid w:val="007B51DF"/>
    <w:rsid w:val="007C05DD"/>
    <w:rsid w:val="007C3D18"/>
    <w:rsid w:val="007C60BF"/>
    <w:rsid w:val="007C6A07"/>
    <w:rsid w:val="007C75A1"/>
    <w:rsid w:val="007C77A5"/>
    <w:rsid w:val="007D04E5"/>
    <w:rsid w:val="007D0B74"/>
    <w:rsid w:val="007D4190"/>
    <w:rsid w:val="007D4DA9"/>
    <w:rsid w:val="007D5901"/>
    <w:rsid w:val="007D7526"/>
    <w:rsid w:val="007E4610"/>
    <w:rsid w:val="007E4715"/>
    <w:rsid w:val="007E505B"/>
    <w:rsid w:val="007E7091"/>
    <w:rsid w:val="007F17FD"/>
    <w:rsid w:val="008033A5"/>
    <w:rsid w:val="00803FAE"/>
    <w:rsid w:val="0080605F"/>
    <w:rsid w:val="00807786"/>
    <w:rsid w:val="00811FCB"/>
    <w:rsid w:val="00812048"/>
    <w:rsid w:val="0081332F"/>
    <w:rsid w:val="008158D6"/>
    <w:rsid w:val="00817196"/>
    <w:rsid w:val="0082003B"/>
    <w:rsid w:val="008235DB"/>
    <w:rsid w:val="00824AB4"/>
    <w:rsid w:val="00825C42"/>
    <w:rsid w:val="00825D25"/>
    <w:rsid w:val="00827D6F"/>
    <w:rsid w:val="008376AC"/>
    <w:rsid w:val="008444E8"/>
    <w:rsid w:val="00844E80"/>
    <w:rsid w:val="00846FE7"/>
    <w:rsid w:val="00854F97"/>
    <w:rsid w:val="00856911"/>
    <w:rsid w:val="00862097"/>
    <w:rsid w:val="008677FD"/>
    <w:rsid w:val="008706D4"/>
    <w:rsid w:val="00870F8A"/>
    <w:rsid w:val="008719A4"/>
    <w:rsid w:val="00871D23"/>
    <w:rsid w:val="00874312"/>
    <w:rsid w:val="0087437C"/>
    <w:rsid w:val="00875CD7"/>
    <w:rsid w:val="00876B4D"/>
    <w:rsid w:val="00877F18"/>
    <w:rsid w:val="00894A88"/>
    <w:rsid w:val="00895386"/>
    <w:rsid w:val="008971CB"/>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4ED"/>
    <w:rsid w:val="008C34F0"/>
    <w:rsid w:val="008C4958"/>
    <w:rsid w:val="008C4BAA"/>
    <w:rsid w:val="008C6AE8"/>
    <w:rsid w:val="008C7573"/>
    <w:rsid w:val="008D34F1"/>
    <w:rsid w:val="008D39D8"/>
    <w:rsid w:val="008D6D1A"/>
    <w:rsid w:val="008E065E"/>
    <w:rsid w:val="008E0927"/>
    <w:rsid w:val="008E1909"/>
    <w:rsid w:val="008F1EAB"/>
    <w:rsid w:val="008F33DC"/>
    <w:rsid w:val="008F477F"/>
    <w:rsid w:val="008F4F6E"/>
    <w:rsid w:val="008F6761"/>
    <w:rsid w:val="00902350"/>
    <w:rsid w:val="0090336B"/>
    <w:rsid w:val="009053AA"/>
    <w:rsid w:val="00906939"/>
    <w:rsid w:val="00910B7D"/>
    <w:rsid w:val="00911DFB"/>
    <w:rsid w:val="009139D9"/>
    <w:rsid w:val="00914AD8"/>
    <w:rsid w:val="00914DB8"/>
    <w:rsid w:val="00916019"/>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4F0"/>
    <w:rsid w:val="00985253"/>
    <w:rsid w:val="009853B3"/>
    <w:rsid w:val="00990630"/>
    <w:rsid w:val="00991761"/>
    <w:rsid w:val="00994DCA"/>
    <w:rsid w:val="009960EC"/>
    <w:rsid w:val="00996AEB"/>
    <w:rsid w:val="00996D75"/>
    <w:rsid w:val="009970DD"/>
    <w:rsid w:val="009A0FBA"/>
    <w:rsid w:val="009A1601"/>
    <w:rsid w:val="009A33B2"/>
    <w:rsid w:val="009A462D"/>
    <w:rsid w:val="009A5CBA"/>
    <w:rsid w:val="009B1F30"/>
    <w:rsid w:val="009B3AC2"/>
    <w:rsid w:val="009B4DF4"/>
    <w:rsid w:val="009B564E"/>
    <w:rsid w:val="009B7E87"/>
    <w:rsid w:val="009C403E"/>
    <w:rsid w:val="009D2319"/>
    <w:rsid w:val="009D4FF0"/>
    <w:rsid w:val="009D703C"/>
    <w:rsid w:val="009D718F"/>
    <w:rsid w:val="009E068F"/>
    <w:rsid w:val="009E14E0"/>
    <w:rsid w:val="009E35DB"/>
    <w:rsid w:val="009E47A3"/>
    <w:rsid w:val="009F08F3"/>
    <w:rsid w:val="009F344F"/>
    <w:rsid w:val="00A048A8"/>
    <w:rsid w:val="00A04F49"/>
    <w:rsid w:val="00A05C6A"/>
    <w:rsid w:val="00A13E54"/>
    <w:rsid w:val="00A17F63"/>
    <w:rsid w:val="00A2052C"/>
    <w:rsid w:val="00A2193B"/>
    <w:rsid w:val="00A2351A"/>
    <w:rsid w:val="00A264A9"/>
    <w:rsid w:val="00A27785"/>
    <w:rsid w:val="00A30187"/>
    <w:rsid w:val="00A31A2B"/>
    <w:rsid w:val="00A3448A"/>
    <w:rsid w:val="00A36297"/>
    <w:rsid w:val="00A41E2B"/>
    <w:rsid w:val="00A45B74"/>
    <w:rsid w:val="00A517E1"/>
    <w:rsid w:val="00A52E1D"/>
    <w:rsid w:val="00A61499"/>
    <w:rsid w:val="00A62A77"/>
    <w:rsid w:val="00A63483"/>
    <w:rsid w:val="00A657D7"/>
    <w:rsid w:val="00A660AC"/>
    <w:rsid w:val="00A66F55"/>
    <w:rsid w:val="00A67E6C"/>
    <w:rsid w:val="00A71B99"/>
    <w:rsid w:val="00A739D0"/>
    <w:rsid w:val="00A761D4"/>
    <w:rsid w:val="00A77770"/>
    <w:rsid w:val="00A77EC4"/>
    <w:rsid w:val="00A92879"/>
    <w:rsid w:val="00A9442A"/>
    <w:rsid w:val="00AA016F"/>
    <w:rsid w:val="00AA1ED6"/>
    <w:rsid w:val="00AA2E4D"/>
    <w:rsid w:val="00AA51D6"/>
    <w:rsid w:val="00AB0BC8"/>
    <w:rsid w:val="00AB0DB8"/>
    <w:rsid w:val="00AB11CA"/>
    <w:rsid w:val="00AB14D9"/>
    <w:rsid w:val="00AB4AB8"/>
    <w:rsid w:val="00AB5121"/>
    <w:rsid w:val="00AB655E"/>
    <w:rsid w:val="00AC007F"/>
    <w:rsid w:val="00AC2ECD"/>
    <w:rsid w:val="00AC3119"/>
    <w:rsid w:val="00AC49FB"/>
    <w:rsid w:val="00AC5637"/>
    <w:rsid w:val="00AC5A10"/>
    <w:rsid w:val="00AD0AA3"/>
    <w:rsid w:val="00AD3F94"/>
    <w:rsid w:val="00AD4A5A"/>
    <w:rsid w:val="00AD52AE"/>
    <w:rsid w:val="00AE27AC"/>
    <w:rsid w:val="00AE3743"/>
    <w:rsid w:val="00AE40E0"/>
    <w:rsid w:val="00AE4CD7"/>
    <w:rsid w:val="00AE4DBA"/>
    <w:rsid w:val="00AE4F07"/>
    <w:rsid w:val="00AF1C5D"/>
    <w:rsid w:val="00AF42D7"/>
    <w:rsid w:val="00B006FE"/>
    <w:rsid w:val="00B007CB"/>
    <w:rsid w:val="00B02AA9"/>
    <w:rsid w:val="00B02FA3"/>
    <w:rsid w:val="00B05084"/>
    <w:rsid w:val="00B07A1A"/>
    <w:rsid w:val="00B142E2"/>
    <w:rsid w:val="00B157F9"/>
    <w:rsid w:val="00B20256"/>
    <w:rsid w:val="00B20D09"/>
    <w:rsid w:val="00B26A4D"/>
    <w:rsid w:val="00B2763F"/>
    <w:rsid w:val="00B27AAC"/>
    <w:rsid w:val="00B30929"/>
    <w:rsid w:val="00B372AA"/>
    <w:rsid w:val="00B40445"/>
    <w:rsid w:val="00B40494"/>
    <w:rsid w:val="00B4060F"/>
    <w:rsid w:val="00B41888"/>
    <w:rsid w:val="00B45A52"/>
    <w:rsid w:val="00B46175"/>
    <w:rsid w:val="00B60E63"/>
    <w:rsid w:val="00B6188F"/>
    <w:rsid w:val="00B664C7"/>
    <w:rsid w:val="00B739F6"/>
    <w:rsid w:val="00B81A6C"/>
    <w:rsid w:val="00B85DE5"/>
    <w:rsid w:val="00B90F73"/>
    <w:rsid w:val="00B93B59"/>
    <w:rsid w:val="00B9406A"/>
    <w:rsid w:val="00BA11B6"/>
    <w:rsid w:val="00BA2280"/>
    <w:rsid w:val="00BA2A08"/>
    <w:rsid w:val="00BA5083"/>
    <w:rsid w:val="00BA56D2"/>
    <w:rsid w:val="00BA76E0"/>
    <w:rsid w:val="00BB2A25"/>
    <w:rsid w:val="00BB51E9"/>
    <w:rsid w:val="00BC0FDC"/>
    <w:rsid w:val="00BC1941"/>
    <w:rsid w:val="00BC3053"/>
    <w:rsid w:val="00BC4D2E"/>
    <w:rsid w:val="00BD48AC"/>
    <w:rsid w:val="00BD4BB9"/>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1DA7"/>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2D5E"/>
    <w:rsid w:val="00C9027A"/>
    <w:rsid w:val="00C9068E"/>
    <w:rsid w:val="00C93C4B"/>
    <w:rsid w:val="00C944AB"/>
    <w:rsid w:val="00C95B40"/>
    <w:rsid w:val="00CA1ED8"/>
    <w:rsid w:val="00CB1F63"/>
    <w:rsid w:val="00CB26B1"/>
    <w:rsid w:val="00CB7170"/>
    <w:rsid w:val="00CC040E"/>
    <w:rsid w:val="00CC111F"/>
    <w:rsid w:val="00CC2011"/>
    <w:rsid w:val="00CC363A"/>
    <w:rsid w:val="00CC3EA0"/>
    <w:rsid w:val="00CC501A"/>
    <w:rsid w:val="00CC7B45"/>
    <w:rsid w:val="00CD1188"/>
    <w:rsid w:val="00CD2ED1"/>
    <w:rsid w:val="00CD337B"/>
    <w:rsid w:val="00CE00C7"/>
    <w:rsid w:val="00CE0424"/>
    <w:rsid w:val="00CE0961"/>
    <w:rsid w:val="00CE3208"/>
    <w:rsid w:val="00CE3E91"/>
    <w:rsid w:val="00CE63C7"/>
    <w:rsid w:val="00CE7561"/>
    <w:rsid w:val="00CF1354"/>
    <w:rsid w:val="00CF3725"/>
    <w:rsid w:val="00CF3B1F"/>
    <w:rsid w:val="00CF3BF6"/>
    <w:rsid w:val="00CF5D9A"/>
    <w:rsid w:val="00CF625B"/>
    <w:rsid w:val="00CF687E"/>
    <w:rsid w:val="00D0349B"/>
    <w:rsid w:val="00D10249"/>
    <w:rsid w:val="00D115C3"/>
    <w:rsid w:val="00D11897"/>
    <w:rsid w:val="00D13135"/>
    <w:rsid w:val="00D13E4E"/>
    <w:rsid w:val="00D239A7"/>
    <w:rsid w:val="00D23F47"/>
    <w:rsid w:val="00D32209"/>
    <w:rsid w:val="00D36E71"/>
    <w:rsid w:val="00D377EA"/>
    <w:rsid w:val="00D37D87"/>
    <w:rsid w:val="00D40B33"/>
    <w:rsid w:val="00D4318F"/>
    <w:rsid w:val="00D438BF"/>
    <w:rsid w:val="00D440F8"/>
    <w:rsid w:val="00D50109"/>
    <w:rsid w:val="00D50F97"/>
    <w:rsid w:val="00D518CD"/>
    <w:rsid w:val="00D546FF"/>
    <w:rsid w:val="00D55AD5"/>
    <w:rsid w:val="00D576CA"/>
    <w:rsid w:val="00D61AF5"/>
    <w:rsid w:val="00D61F87"/>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C14"/>
    <w:rsid w:val="00DB0A9F"/>
    <w:rsid w:val="00DB0BC9"/>
    <w:rsid w:val="00DB377D"/>
    <w:rsid w:val="00DC2D36"/>
    <w:rsid w:val="00DC53EF"/>
    <w:rsid w:val="00DD7B29"/>
    <w:rsid w:val="00DE5608"/>
    <w:rsid w:val="00DE58D0"/>
    <w:rsid w:val="00DE654F"/>
    <w:rsid w:val="00DE66C9"/>
    <w:rsid w:val="00DF0B6E"/>
    <w:rsid w:val="00DF15E0"/>
    <w:rsid w:val="00DF37A0"/>
    <w:rsid w:val="00E01F9B"/>
    <w:rsid w:val="00E110E7"/>
    <w:rsid w:val="00E11B20"/>
    <w:rsid w:val="00E14CF5"/>
    <w:rsid w:val="00E17FA2"/>
    <w:rsid w:val="00E22330"/>
    <w:rsid w:val="00E26FDE"/>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1C8"/>
    <w:rsid w:val="00EC27C6"/>
    <w:rsid w:val="00EC4207"/>
    <w:rsid w:val="00EC5653"/>
    <w:rsid w:val="00EC71CE"/>
    <w:rsid w:val="00ED1006"/>
    <w:rsid w:val="00ED1C9E"/>
    <w:rsid w:val="00EF014C"/>
    <w:rsid w:val="00EF18FE"/>
    <w:rsid w:val="00EF5787"/>
    <w:rsid w:val="00EF60D0"/>
    <w:rsid w:val="00F0528D"/>
    <w:rsid w:val="00F06C67"/>
    <w:rsid w:val="00F06DFD"/>
    <w:rsid w:val="00F0716A"/>
    <w:rsid w:val="00F071D1"/>
    <w:rsid w:val="00F07533"/>
    <w:rsid w:val="00F10629"/>
    <w:rsid w:val="00F15FA5"/>
    <w:rsid w:val="00F209B7"/>
    <w:rsid w:val="00F2376F"/>
    <w:rsid w:val="00F243D8"/>
    <w:rsid w:val="00F30828"/>
    <w:rsid w:val="00F313D6"/>
    <w:rsid w:val="00F357CD"/>
    <w:rsid w:val="00F40F0C"/>
    <w:rsid w:val="00F41C92"/>
    <w:rsid w:val="00F4766C"/>
    <w:rsid w:val="00F479EE"/>
    <w:rsid w:val="00F507D1"/>
    <w:rsid w:val="00F519CE"/>
    <w:rsid w:val="00F51ADA"/>
    <w:rsid w:val="00F607C5"/>
    <w:rsid w:val="00F60DEA"/>
    <w:rsid w:val="00F625BD"/>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355"/>
    <w:rsid w:val="00F97838"/>
    <w:rsid w:val="00FA2BB3"/>
    <w:rsid w:val="00FB4C80"/>
    <w:rsid w:val="00FB6A6A"/>
    <w:rsid w:val="00FC025D"/>
    <w:rsid w:val="00FC153A"/>
    <w:rsid w:val="00FC2C9C"/>
    <w:rsid w:val="00FC7429"/>
    <w:rsid w:val="00FD07F6"/>
    <w:rsid w:val="00FD1EC8"/>
    <w:rsid w:val="00FD47ED"/>
    <w:rsid w:val="00FD74DB"/>
    <w:rsid w:val="00FD7660"/>
    <w:rsid w:val="00FE0655"/>
    <w:rsid w:val="00FE2365"/>
    <w:rsid w:val="00FE4C7B"/>
    <w:rsid w:val="00FE7336"/>
    <w:rsid w:val="00FE787C"/>
    <w:rsid w:val="00FF45A5"/>
    <w:rsid w:val="00FF5C91"/>
    <w:rsid w:val="00FF6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2EA2A4"/>
  <w15:chartTrackingRefBased/>
  <w15:docId w15:val="{8F79765A-4DCC-4672-AD3C-B67683853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041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4E041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4E041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4E041C"/>
    <w:pPr>
      <w:numPr>
        <w:ilvl w:val="2"/>
      </w:numPr>
      <w:spacing w:before="120"/>
      <w:outlineLvl w:val="2"/>
    </w:pPr>
    <w:rPr>
      <w:sz w:val="28"/>
      <w:szCs w:val="28"/>
    </w:rPr>
  </w:style>
  <w:style w:type="paragraph" w:styleId="Heading4">
    <w:name w:val="heading 4"/>
    <w:basedOn w:val="Heading3"/>
    <w:next w:val="Normal"/>
    <w:qFormat/>
    <w:rsid w:val="004E041C"/>
    <w:pPr>
      <w:numPr>
        <w:ilvl w:val="3"/>
      </w:numPr>
      <w:outlineLvl w:val="3"/>
    </w:pPr>
    <w:rPr>
      <w:sz w:val="24"/>
      <w:szCs w:val="24"/>
    </w:rPr>
  </w:style>
  <w:style w:type="paragraph" w:styleId="Heading5">
    <w:name w:val="heading 5"/>
    <w:basedOn w:val="Heading4"/>
    <w:next w:val="Normal"/>
    <w:qFormat/>
    <w:rsid w:val="004E041C"/>
    <w:pPr>
      <w:numPr>
        <w:ilvl w:val="4"/>
      </w:numPr>
      <w:outlineLvl w:val="4"/>
    </w:pPr>
    <w:rPr>
      <w:sz w:val="22"/>
      <w:szCs w:val="22"/>
    </w:rPr>
  </w:style>
  <w:style w:type="paragraph" w:styleId="Heading6">
    <w:name w:val="heading 6"/>
    <w:basedOn w:val="Normal"/>
    <w:next w:val="Normal"/>
    <w:qFormat/>
    <w:rsid w:val="004E041C"/>
    <w:pPr>
      <w:keepNext/>
      <w:keepLines/>
      <w:numPr>
        <w:ilvl w:val="5"/>
        <w:numId w:val="1"/>
      </w:numPr>
      <w:spacing w:before="120"/>
      <w:outlineLvl w:val="5"/>
    </w:pPr>
    <w:rPr>
      <w:rFonts w:cs="Arial"/>
    </w:rPr>
  </w:style>
  <w:style w:type="paragraph" w:styleId="Heading7">
    <w:name w:val="heading 7"/>
    <w:basedOn w:val="Normal"/>
    <w:next w:val="Normal"/>
    <w:qFormat/>
    <w:rsid w:val="004E041C"/>
    <w:pPr>
      <w:keepNext/>
      <w:keepLines/>
      <w:numPr>
        <w:ilvl w:val="6"/>
        <w:numId w:val="1"/>
      </w:numPr>
      <w:spacing w:before="120"/>
      <w:outlineLvl w:val="6"/>
    </w:pPr>
    <w:rPr>
      <w:rFonts w:cs="Arial"/>
    </w:rPr>
  </w:style>
  <w:style w:type="paragraph" w:styleId="Heading8">
    <w:name w:val="heading 8"/>
    <w:basedOn w:val="Heading7"/>
    <w:next w:val="Normal"/>
    <w:qFormat/>
    <w:rsid w:val="004E041C"/>
    <w:pPr>
      <w:numPr>
        <w:ilvl w:val="7"/>
      </w:numPr>
      <w:outlineLvl w:val="7"/>
    </w:pPr>
  </w:style>
  <w:style w:type="paragraph" w:styleId="Heading9">
    <w:name w:val="heading 9"/>
    <w:basedOn w:val="Heading8"/>
    <w:next w:val="Normal"/>
    <w:qFormat/>
    <w:rsid w:val="004E041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E041C"/>
    <w:pPr>
      <w:spacing w:before="180"/>
      <w:ind w:left="2693" w:hanging="2693"/>
    </w:pPr>
    <w:rPr>
      <w:b w:val="0"/>
      <w:bCs/>
    </w:rPr>
  </w:style>
  <w:style w:type="paragraph" w:styleId="TOC1">
    <w:name w:val="toc 1"/>
    <w:aliases w:val="Observation TOC2"/>
    <w:uiPriority w:val="39"/>
    <w:rsid w:val="004E041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4E041C"/>
    <w:pPr>
      <w:keepNext/>
      <w:keepLines/>
      <w:spacing w:before="180"/>
      <w:jc w:val="center"/>
    </w:pPr>
  </w:style>
  <w:style w:type="paragraph" w:styleId="Caption">
    <w:name w:val="caption"/>
    <w:basedOn w:val="Normal"/>
    <w:next w:val="Normal"/>
    <w:qFormat/>
    <w:rsid w:val="004E041C"/>
    <w:pPr>
      <w:spacing w:after="240"/>
      <w:jc w:val="center"/>
    </w:pPr>
    <w:rPr>
      <w:b/>
      <w:bCs/>
    </w:rPr>
  </w:style>
  <w:style w:type="paragraph" w:styleId="TOC5">
    <w:name w:val="toc 5"/>
    <w:aliases w:val="Observation TOC"/>
    <w:basedOn w:val="TOC4"/>
    <w:semiHidden/>
    <w:rsid w:val="004E041C"/>
    <w:pPr>
      <w:tabs>
        <w:tab w:val="right" w:pos="1701"/>
      </w:tabs>
      <w:ind w:left="1701" w:hanging="1701"/>
    </w:pPr>
  </w:style>
  <w:style w:type="paragraph" w:styleId="TOC4">
    <w:name w:val="toc 4"/>
    <w:basedOn w:val="TOC3"/>
    <w:semiHidden/>
    <w:rsid w:val="004E041C"/>
    <w:pPr>
      <w:ind w:left="1418" w:hanging="1418"/>
    </w:pPr>
  </w:style>
  <w:style w:type="paragraph" w:styleId="TOC3">
    <w:name w:val="toc 3"/>
    <w:basedOn w:val="TOC2"/>
    <w:semiHidden/>
    <w:rsid w:val="004E041C"/>
    <w:pPr>
      <w:ind w:left="1134" w:hanging="1134"/>
    </w:pPr>
  </w:style>
  <w:style w:type="paragraph" w:styleId="TOC2">
    <w:name w:val="toc 2"/>
    <w:basedOn w:val="TOC1"/>
    <w:semiHidden/>
    <w:rsid w:val="004E041C"/>
    <w:pPr>
      <w:keepNext w:val="0"/>
      <w:spacing w:before="0"/>
      <w:ind w:left="851" w:hanging="851"/>
    </w:pPr>
    <w:rPr>
      <w:szCs w:val="20"/>
    </w:rPr>
  </w:style>
  <w:style w:type="paragraph" w:styleId="Index2">
    <w:name w:val="index 2"/>
    <w:basedOn w:val="Index1"/>
    <w:semiHidden/>
    <w:rsid w:val="004E041C"/>
    <w:pPr>
      <w:ind w:left="284"/>
    </w:pPr>
  </w:style>
  <w:style w:type="paragraph" w:styleId="Index1">
    <w:name w:val="index 1"/>
    <w:basedOn w:val="Normal"/>
    <w:semiHidden/>
    <w:rsid w:val="004E041C"/>
    <w:pPr>
      <w:keepLines/>
      <w:spacing w:after="0"/>
    </w:pPr>
  </w:style>
  <w:style w:type="paragraph" w:styleId="DocumentMap">
    <w:name w:val="Document Map"/>
    <w:basedOn w:val="Normal"/>
    <w:semiHidden/>
    <w:rsid w:val="004E041C"/>
    <w:pPr>
      <w:shd w:val="clear" w:color="auto" w:fill="000080"/>
    </w:pPr>
    <w:rPr>
      <w:rFonts w:ascii="Tahoma" w:hAnsi="Tahoma" w:cs="Tahoma"/>
    </w:rPr>
  </w:style>
  <w:style w:type="paragraph" w:styleId="ListNumber2">
    <w:name w:val="List Number 2"/>
    <w:basedOn w:val="ListNumber"/>
    <w:rsid w:val="004E041C"/>
    <w:pPr>
      <w:ind w:left="851"/>
    </w:pPr>
  </w:style>
  <w:style w:type="paragraph" w:styleId="ListNumber">
    <w:name w:val="List Number"/>
    <w:basedOn w:val="List"/>
    <w:rsid w:val="004E041C"/>
  </w:style>
  <w:style w:type="paragraph" w:styleId="List">
    <w:name w:val="List"/>
    <w:basedOn w:val="Normal"/>
    <w:rsid w:val="004E041C"/>
    <w:pPr>
      <w:ind w:left="568" w:hanging="284"/>
    </w:pPr>
  </w:style>
  <w:style w:type="paragraph" w:styleId="Header">
    <w:name w:val="header"/>
    <w:rsid w:val="004E041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4E041C"/>
    <w:rPr>
      <w:b/>
      <w:bCs/>
      <w:position w:val="6"/>
      <w:sz w:val="16"/>
      <w:szCs w:val="16"/>
    </w:rPr>
  </w:style>
  <w:style w:type="paragraph" w:styleId="FootnoteText">
    <w:name w:val="footnote text"/>
    <w:basedOn w:val="Normal"/>
    <w:semiHidden/>
    <w:rsid w:val="004E041C"/>
    <w:pPr>
      <w:keepLines/>
      <w:spacing w:after="0"/>
      <w:ind w:left="454" w:hanging="454"/>
    </w:pPr>
    <w:rPr>
      <w:sz w:val="16"/>
      <w:szCs w:val="16"/>
    </w:rPr>
  </w:style>
  <w:style w:type="paragraph" w:customStyle="1" w:styleId="3GPPHeader">
    <w:name w:val="3GPP_Header"/>
    <w:basedOn w:val="Normal"/>
    <w:rsid w:val="004E041C"/>
    <w:pPr>
      <w:tabs>
        <w:tab w:val="left" w:pos="1701"/>
        <w:tab w:val="right" w:pos="9639"/>
      </w:tabs>
      <w:spacing w:after="240"/>
    </w:pPr>
    <w:rPr>
      <w:b/>
      <w:sz w:val="24"/>
    </w:rPr>
  </w:style>
  <w:style w:type="paragraph" w:styleId="TOC9">
    <w:name w:val="toc 9"/>
    <w:basedOn w:val="TOC8"/>
    <w:semiHidden/>
    <w:rsid w:val="004E041C"/>
    <w:pPr>
      <w:ind w:left="1418" w:hanging="1418"/>
    </w:pPr>
  </w:style>
  <w:style w:type="paragraph" w:styleId="TOC6">
    <w:name w:val="toc 6"/>
    <w:basedOn w:val="TOC5"/>
    <w:next w:val="Normal"/>
    <w:semiHidden/>
    <w:rsid w:val="004E041C"/>
    <w:pPr>
      <w:ind w:left="1985" w:hanging="1985"/>
    </w:pPr>
  </w:style>
  <w:style w:type="paragraph" w:styleId="TOC7">
    <w:name w:val="toc 7"/>
    <w:basedOn w:val="TOC6"/>
    <w:next w:val="Normal"/>
    <w:semiHidden/>
    <w:rsid w:val="004E041C"/>
    <w:pPr>
      <w:ind w:left="2268" w:hanging="2268"/>
    </w:pPr>
  </w:style>
  <w:style w:type="paragraph" w:styleId="ListBullet2">
    <w:name w:val="List Bullet 2"/>
    <w:basedOn w:val="ListBullet"/>
    <w:rsid w:val="004E041C"/>
    <w:pPr>
      <w:numPr>
        <w:numId w:val="6"/>
      </w:numPr>
    </w:pPr>
  </w:style>
  <w:style w:type="paragraph" w:styleId="ListBullet">
    <w:name w:val="List Bullet"/>
    <w:basedOn w:val="BodyText"/>
    <w:rsid w:val="004E041C"/>
    <w:pPr>
      <w:numPr>
        <w:numId w:val="5"/>
      </w:numPr>
    </w:pPr>
  </w:style>
  <w:style w:type="paragraph" w:styleId="ListBullet3">
    <w:name w:val="List Bullet 3"/>
    <w:basedOn w:val="ListBullet2"/>
    <w:rsid w:val="004E041C"/>
    <w:pPr>
      <w:numPr>
        <w:numId w:val="7"/>
      </w:numPr>
    </w:pPr>
  </w:style>
  <w:style w:type="paragraph" w:customStyle="1" w:styleId="EQ">
    <w:name w:val="EQ"/>
    <w:basedOn w:val="Normal"/>
    <w:next w:val="Normal"/>
    <w:rsid w:val="004E041C"/>
    <w:pPr>
      <w:keepLines/>
      <w:tabs>
        <w:tab w:val="center" w:pos="4536"/>
        <w:tab w:val="right" w:pos="9072"/>
      </w:tabs>
      <w:spacing w:after="180"/>
      <w:jc w:val="left"/>
    </w:pPr>
    <w:rPr>
      <w:noProof/>
      <w:lang w:eastAsia="en-US"/>
    </w:rPr>
  </w:style>
  <w:style w:type="paragraph" w:styleId="List2">
    <w:name w:val="List 2"/>
    <w:basedOn w:val="List"/>
    <w:rsid w:val="004E041C"/>
    <w:pPr>
      <w:ind w:left="851"/>
    </w:pPr>
  </w:style>
  <w:style w:type="paragraph" w:styleId="List3">
    <w:name w:val="List 3"/>
    <w:basedOn w:val="List2"/>
    <w:rsid w:val="004E041C"/>
    <w:pPr>
      <w:ind w:left="1135"/>
    </w:pPr>
  </w:style>
  <w:style w:type="paragraph" w:styleId="List4">
    <w:name w:val="List 4"/>
    <w:basedOn w:val="List3"/>
    <w:rsid w:val="004E041C"/>
    <w:pPr>
      <w:ind w:left="1418"/>
    </w:pPr>
  </w:style>
  <w:style w:type="paragraph" w:styleId="List5">
    <w:name w:val="List 5"/>
    <w:basedOn w:val="List4"/>
    <w:rsid w:val="004E041C"/>
    <w:pPr>
      <w:ind w:left="1702"/>
    </w:pPr>
  </w:style>
  <w:style w:type="paragraph" w:customStyle="1" w:styleId="EditorsNote">
    <w:name w:val="Editor's Note"/>
    <w:basedOn w:val="Normal"/>
    <w:rsid w:val="004E041C"/>
    <w:pPr>
      <w:keepLines/>
      <w:spacing w:after="180"/>
      <w:ind w:left="1135" w:hanging="851"/>
      <w:jc w:val="left"/>
    </w:pPr>
    <w:rPr>
      <w:color w:val="FF0000"/>
      <w:lang w:eastAsia="en-US"/>
    </w:rPr>
  </w:style>
  <w:style w:type="paragraph" w:styleId="ListBullet4">
    <w:name w:val="List Bullet 4"/>
    <w:basedOn w:val="ListBullet3"/>
    <w:rsid w:val="004E041C"/>
    <w:pPr>
      <w:numPr>
        <w:numId w:val="8"/>
      </w:numPr>
    </w:pPr>
  </w:style>
  <w:style w:type="paragraph" w:styleId="ListBullet5">
    <w:name w:val="List Bullet 5"/>
    <w:basedOn w:val="ListBullet4"/>
    <w:rsid w:val="004E041C"/>
    <w:pPr>
      <w:numPr>
        <w:numId w:val="4"/>
      </w:numPr>
    </w:pPr>
  </w:style>
  <w:style w:type="paragraph" w:styleId="Footer">
    <w:name w:val="footer"/>
    <w:basedOn w:val="Header"/>
    <w:semiHidden/>
    <w:rsid w:val="004E041C"/>
    <w:pPr>
      <w:jc w:val="center"/>
    </w:pPr>
    <w:rPr>
      <w:i/>
      <w:iCs/>
    </w:rPr>
  </w:style>
  <w:style w:type="paragraph" w:customStyle="1" w:styleId="Reference">
    <w:name w:val="Reference"/>
    <w:basedOn w:val="Normal"/>
    <w:rsid w:val="004E041C"/>
    <w:pPr>
      <w:numPr>
        <w:numId w:val="2"/>
      </w:numPr>
    </w:pPr>
  </w:style>
  <w:style w:type="paragraph" w:styleId="BalloonText">
    <w:name w:val="Balloon Text"/>
    <w:basedOn w:val="Normal"/>
    <w:semiHidden/>
    <w:rsid w:val="004E041C"/>
    <w:rPr>
      <w:rFonts w:ascii="Tahoma" w:hAnsi="Tahoma" w:cs="Tahoma"/>
      <w:sz w:val="16"/>
      <w:szCs w:val="16"/>
    </w:rPr>
  </w:style>
  <w:style w:type="character" w:styleId="PageNumber">
    <w:name w:val="page number"/>
    <w:basedOn w:val="DefaultParagraphFont"/>
    <w:semiHidden/>
    <w:rsid w:val="004E041C"/>
  </w:style>
  <w:style w:type="paragraph" w:styleId="BodyText">
    <w:name w:val="Body Text"/>
    <w:basedOn w:val="Normal"/>
    <w:link w:val="BodyTextChar"/>
    <w:rsid w:val="004E041C"/>
  </w:style>
  <w:style w:type="character" w:styleId="Hyperlink">
    <w:name w:val="Hyperlink"/>
    <w:uiPriority w:val="99"/>
    <w:rsid w:val="004E041C"/>
    <w:rPr>
      <w:color w:val="0000FF"/>
      <w:u w:val="single"/>
      <w:lang w:val="en-GB"/>
    </w:rPr>
  </w:style>
  <w:style w:type="character" w:styleId="FollowedHyperlink">
    <w:name w:val="FollowedHyperlink"/>
    <w:semiHidden/>
    <w:rsid w:val="004E041C"/>
    <w:rPr>
      <w:color w:val="FF0000"/>
      <w:u w:val="single"/>
    </w:rPr>
  </w:style>
  <w:style w:type="character" w:styleId="CommentReference">
    <w:name w:val="annotation reference"/>
    <w:semiHidden/>
    <w:rsid w:val="004E041C"/>
    <w:rPr>
      <w:sz w:val="16"/>
      <w:szCs w:val="16"/>
    </w:rPr>
  </w:style>
  <w:style w:type="paragraph" w:styleId="CommentText">
    <w:name w:val="annotation text"/>
    <w:basedOn w:val="Normal"/>
    <w:semiHidden/>
    <w:rsid w:val="004E041C"/>
  </w:style>
  <w:style w:type="paragraph" w:styleId="CommentSubject">
    <w:name w:val="annotation subject"/>
    <w:basedOn w:val="CommentText"/>
    <w:next w:val="CommentText"/>
    <w:semiHidden/>
    <w:rsid w:val="004E041C"/>
    <w:rPr>
      <w:b/>
      <w:bCs/>
    </w:rPr>
  </w:style>
  <w:style w:type="character" w:customStyle="1" w:styleId="Heading1Char">
    <w:name w:val="Heading 1 Char"/>
    <w:link w:val="Heading1"/>
    <w:rsid w:val="004E041C"/>
    <w:rPr>
      <w:rFonts w:ascii="Arial" w:hAnsi="Arial" w:cs="Arial"/>
      <w:sz w:val="36"/>
      <w:szCs w:val="36"/>
      <w:lang w:val="en-GB" w:eastAsia="zh-CN"/>
    </w:rPr>
  </w:style>
  <w:style w:type="paragraph" w:customStyle="1" w:styleId="B1">
    <w:name w:val="B1"/>
    <w:basedOn w:val="List"/>
    <w:rsid w:val="004E041C"/>
    <w:pPr>
      <w:spacing w:after="180"/>
      <w:jc w:val="left"/>
    </w:pPr>
    <w:rPr>
      <w:lang w:eastAsia="en-US"/>
    </w:rPr>
  </w:style>
  <w:style w:type="paragraph" w:customStyle="1" w:styleId="B2">
    <w:name w:val="B2"/>
    <w:basedOn w:val="List2"/>
    <w:rsid w:val="004E041C"/>
    <w:pPr>
      <w:spacing w:after="180"/>
      <w:jc w:val="left"/>
    </w:pPr>
    <w:rPr>
      <w:lang w:eastAsia="en-US"/>
    </w:rPr>
  </w:style>
  <w:style w:type="paragraph" w:customStyle="1" w:styleId="B3">
    <w:name w:val="B3"/>
    <w:basedOn w:val="List3"/>
    <w:rsid w:val="004E041C"/>
    <w:pPr>
      <w:spacing w:after="180"/>
      <w:jc w:val="left"/>
    </w:pPr>
    <w:rPr>
      <w:lang w:eastAsia="en-US"/>
    </w:rPr>
  </w:style>
  <w:style w:type="paragraph" w:customStyle="1" w:styleId="B4">
    <w:name w:val="B4"/>
    <w:basedOn w:val="List4"/>
    <w:rsid w:val="004E041C"/>
    <w:pPr>
      <w:spacing w:after="180"/>
      <w:jc w:val="left"/>
    </w:pPr>
    <w:rPr>
      <w:lang w:eastAsia="en-US"/>
    </w:rPr>
  </w:style>
  <w:style w:type="paragraph" w:customStyle="1" w:styleId="Proposal">
    <w:name w:val="Proposal"/>
    <w:basedOn w:val="Normal"/>
    <w:rsid w:val="004E041C"/>
    <w:pPr>
      <w:numPr>
        <w:numId w:val="3"/>
      </w:numPr>
      <w:tabs>
        <w:tab w:val="clear" w:pos="1304"/>
        <w:tab w:val="left" w:pos="1701"/>
      </w:tabs>
      <w:ind w:left="1701" w:hanging="1701"/>
    </w:pPr>
    <w:rPr>
      <w:b/>
      <w:bCs/>
    </w:rPr>
  </w:style>
  <w:style w:type="character" w:customStyle="1" w:styleId="BodyTextChar">
    <w:name w:val="Body Text Char"/>
    <w:link w:val="BodyText"/>
    <w:rsid w:val="004E041C"/>
    <w:rPr>
      <w:rFonts w:ascii="Arial" w:hAnsi="Arial"/>
      <w:lang w:val="en-GB" w:eastAsia="zh-CN"/>
    </w:rPr>
  </w:style>
  <w:style w:type="paragraph" w:customStyle="1" w:styleId="B5">
    <w:name w:val="B5"/>
    <w:basedOn w:val="List5"/>
    <w:rsid w:val="004E041C"/>
    <w:pPr>
      <w:spacing w:after="180"/>
      <w:jc w:val="left"/>
    </w:pPr>
    <w:rPr>
      <w:lang w:eastAsia="en-US"/>
    </w:rPr>
  </w:style>
  <w:style w:type="paragraph" w:customStyle="1" w:styleId="EX">
    <w:name w:val="EX"/>
    <w:basedOn w:val="Normal"/>
    <w:rsid w:val="004E041C"/>
    <w:pPr>
      <w:keepLines/>
      <w:spacing w:after="180"/>
      <w:ind w:left="1702" w:hanging="1418"/>
      <w:jc w:val="left"/>
    </w:pPr>
    <w:rPr>
      <w:lang w:eastAsia="en-US"/>
    </w:rPr>
  </w:style>
  <w:style w:type="paragraph" w:customStyle="1" w:styleId="EW">
    <w:name w:val="EW"/>
    <w:basedOn w:val="EX"/>
    <w:rsid w:val="004E041C"/>
    <w:pPr>
      <w:spacing w:after="0"/>
    </w:pPr>
  </w:style>
  <w:style w:type="paragraph" w:customStyle="1" w:styleId="TAL">
    <w:name w:val="TAL"/>
    <w:basedOn w:val="Normal"/>
    <w:link w:val="TALChar"/>
    <w:rsid w:val="004E041C"/>
    <w:pPr>
      <w:keepNext/>
      <w:keepLines/>
      <w:spacing w:after="0"/>
      <w:jc w:val="left"/>
    </w:pPr>
    <w:rPr>
      <w:sz w:val="18"/>
      <w:lang w:eastAsia="en-US"/>
    </w:rPr>
  </w:style>
  <w:style w:type="paragraph" w:customStyle="1" w:styleId="TAC">
    <w:name w:val="TAC"/>
    <w:basedOn w:val="TAL"/>
    <w:link w:val="TACChar"/>
    <w:rsid w:val="004E041C"/>
    <w:pPr>
      <w:jc w:val="center"/>
    </w:pPr>
  </w:style>
  <w:style w:type="paragraph" w:customStyle="1" w:styleId="TAH">
    <w:name w:val="TAH"/>
    <w:basedOn w:val="TAC"/>
    <w:rsid w:val="004E041C"/>
    <w:rPr>
      <w:b/>
    </w:rPr>
  </w:style>
  <w:style w:type="paragraph" w:customStyle="1" w:styleId="TAN">
    <w:name w:val="TAN"/>
    <w:basedOn w:val="TAL"/>
    <w:rsid w:val="004E041C"/>
    <w:pPr>
      <w:ind w:left="851" w:hanging="851"/>
    </w:pPr>
  </w:style>
  <w:style w:type="paragraph" w:customStyle="1" w:styleId="TAR">
    <w:name w:val="TAR"/>
    <w:basedOn w:val="TAL"/>
    <w:rsid w:val="004E041C"/>
    <w:pPr>
      <w:jc w:val="right"/>
    </w:pPr>
  </w:style>
  <w:style w:type="paragraph" w:customStyle="1" w:styleId="TH">
    <w:name w:val="TH"/>
    <w:basedOn w:val="Normal"/>
    <w:link w:val="THChar"/>
    <w:rsid w:val="004E041C"/>
    <w:pPr>
      <w:keepNext/>
      <w:keepLines/>
      <w:spacing w:before="60" w:after="180"/>
      <w:jc w:val="center"/>
    </w:pPr>
    <w:rPr>
      <w:b/>
      <w:lang w:eastAsia="en-US"/>
    </w:rPr>
  </w:style>
  <w:style w:type="paragraph" w:customStyle="1" w:styleId="TF">
    <w:name w:val="TF"/>
    <w:basedOn w:val="TH"/>
    <w:rsid w:val="004E041C"/>
    <w:pPr>
      <w:keepNext w:val="0"/>
      <w:spacing w:before="0" w:after="240"/>
    </w:pPr>
  </w:style>
  <w:style w:type="paragraph" w:customStyle="1" w:styleId="TT">
    <w:name w:val="TT"/>
    <w:basedOn w:val="Heading1"/>
    <w:next w:val="Normal"/>
    <w:rsid w:val="004E041C"/>
    <w:pPr>
      <w:numPr>
        <w:numId w:val="0"/>
      </w:numPr>
      <w:ind w:left="1134" w:hanging="1134"/>
      <w:outlineLvl w:val="9"/>
    </w:pPr>
    <w:rPr>
      <w:rFonts w:cs="Times New Roman"/>
      <w:szCs w:val="20"/>
      <w:lang w:eastAsia="en-US"/>
    </w:rPr>
  </w:style>
  <w:style w:type="paragraph" w:customStyle="1" w:styleId="ZA">
    <w:name w:val="ZA"/>
    <w:rsid w:val="004E04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04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E04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4E04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4E041C"/>
  </w:style>
  <w:style w:type="paragraph" w:customStyle="1" w:styleId="ZH">
    <w:name w:val="ZH"/>
    <w:rsid w:val="004E04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4E04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4E041C"/>
    <w:pPr>
      <w:framePr w:hRule="auto" w:wrap="notBeside" w:y="852"/>
    </w:pPr>
    <w:rPr>
      <w:i w:val="0"/>
      <w:sz w:val="40"/>
    </w:rPr>
  </w:style>
  <w:style w:type="paragraph" w:customStyle="1" w:styleId="ZU">
    <w:name w:val="ZU"/>
    <w:rsid w:val="004E04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E041C"/>
    <w:pPr>
      <w:framePr w:wrap="notBeside" w:y="16161"/>
    </w:pPr>
  </w:style>
  <w:style w:type="paragraph" w:customStyle="1" w:styleId="FP">
    <w:name w:val="FP"/>
    <w:basedOn w:val="Normal"/>
    <w:rsid w:val="004E041C"/>
    <w:pPr>
      <w:spacing w:after="0"/>
      <w:jc w:val="left"/>
    </w:pPr>
    <w:rPr>
      <w:lang w:eastAsia="en-US"/>
    </w:rPr>
  </w:style>
  <w:style w:type="paragraph" w:customStyle="1" w:styleId="Observation">
    <w:name w:val="Observation"/>
    <w:basedOn w:val="Proposal"/>
    <w:qFormat/>
    <w:rsid w:val="004E041C"/>
    <w:pPr>
      <w:numPr>
        <w:numId w:val="13"/>
      </w:numPr>
      <w:ind w:left="1701" w:hanging="1701"/>
    </w:pPr>
  </w:style>
  <w:style w:type="paragraph" w:styleId="TableofFigures">
    <w:name w:val="table of figures"/>
    <w:basedOn w:val="Normal"/>
    <w:next w:val="Normal"/>
    <w:uiPriority w:val="99"/>
    <w:rsid w:val="004E041C"/>
    <w:pPr>
      <w:ind w:left="1418" w:hanging="1418"/>
      <w:jc w:val="left"/>
    </w:pPr>
    <w:rPr>
      <w:b/>
    </w:rPr>
  </w:style>
  <w:style w:type="paragraph" w:customStyle="1" w:styleId="Doc-text2">
    <w:name w:val="Doc-text2"/>
    <w:basedOn w:val="Normal"/>
    <w:link w:val="Doc-text2Char"/>
    <w:qFormat/>
    <w:rsid w:val="004E041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E041C"/>
    <w:rPr>
      <w:rFonts w:ascii="Arial" w:eastAsia="MS Mincho" w:hAnsi="Arial"/>
      <w:szCs w:val="24"/>
      <w:lang w:val="en-GB" w:eastAsia="en-GB"/>
    </w:rPr>
  </w:style>
  <w:style w:type="character" w:customStyle="1" w:styleId="THChar">
    <w:name w:val="TH Char"/>
    <w:link w:val="TH"/>
    <w:rsid w:val="004E041C"/>
    <w:rPr>
      <w:rFonts w:ascii="Arial" w:hAnsi="Arial"/>
      <w:b/>
      <w:lang w:val="en-GB"/>
    </w:rPr>
  </w:style>
  <w:style w:type="character" w:customStyle="1" w:styleId="TALChar">
    <w:name w:val="TAL Char"/>
    <w:link w:val="TAL"/>
    <w:locked/>
    <w:rsid w:val="004E041C"/>
    <w:rPr>
      <w:rFonts w:ascii="Arial" w:hAnsi="Arial"/>
      <w:sz w:val="18"/>
      <w:lang w:val="en-GB"/>
    </w:rPr>
  </w:style>
  <w:style w:type="character" w:customStyle="1" w:styleId="TACChar">
    <w:name w:val="TAC Char"/>
    <w:link w:val="TAC"/>
    <w:locked/>
    <w:rsid w:val="004E041C"/>
    <w:rPr>
      <w:rFonts w:ascii="Arial" w:hAnsi="Arial"/>
      <w:sz w:val="18"/>
      <w:lang w:val="en-GB"/>
    </w:rPr>
  </w:style>
  <w:style w:type="paragraph" w:styleId="NormalWeb">
    <w:name w:val="Normal (Web)"/>
    <w:basedOn w:val="Normal"/>
    <w:uiPriority w:val="99"/>
    <w:unhideWhenUsed/>
    <w:rsid w:val="00996AEB"/>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067755">
      <w:bodyDiv w:val="1"/>
      <w:marLeft w:val="0"/>
      <w:marRight w:val="0"/>
      <w:marTop w:val="0"/>
      <w:marBottom w:val="0"/>
      <w:divBdr>
        <w:top w:val="none" w:sz="0" w:space="0" w:color="auto"/>
        <w:left w:val="none" w:sz="0" w:space="0" w:color="auto"/>
        <w:bottom w:val="none" w:sz="0" w:space="0" w:color="auto"/>
        <w:right w:val="none" w:sz="0" w:space="0" w:color="auto"/>
      </w:divBdr>
    </w:div>
    <w:div w:id="301542919">
      <w:bodyDiv w:val="1"/>
      <w:marLeft w:val="0"/>
      <w:marRight w:val="0"/>
      <w:marTop w:val="0"/>
      <w:marBottom w:val="0"/>
      <w:divBdr>
        <w:top w:val="none" w:sz="0" w:space="0" w:color="auto"/>
        <w:left w:val="none" w:sz="0" w:space="0" w:color="auto"/>
        <w:bottom w:val="none" w:sz="0" w:space="0" w:color="auto"/>
        <w:right w:val="none" w:sz="0" w:space="0" w:color="auto"/>
      </w:divBdr>
    </w:div>
    <w:div w:id="388498093">
      <w:bodyDiv w:val="1"/>
      <w:marLeft w:val="0"/>
      <w:marRight w:val="0"/>
      <w:marTop w:val="0"/>
      <w:marBottom w:val="0"/>
      <w:divBdr>
        <w:top w:val="none" w:sz="0" w:space="0" w:color="auto"/>
        <w:left w:val="none" w:sz="0" w:space="0" w:color="auto"/>
        <w:bottom w:val="none" w:sz="0" w:space="0" w:color="auto"/>
        <w:right w:val="none" w:sz="0" w:space="0" w:color="auto"/>
      </w:divBdr>
    </w:div>
    <w:div w:id="396981764">
      <w:bodyDiv w:val="1"/>
      <w:marLeft w:val="0"/>
      <w:marRight w:val="0"/>
      <w:marTop w:val="0"/>
      <w:marBottom w:val="0"/>
      <w:divBdr>
        <w:top w:val="none" w:sz="0" w:space="0" w:color="auto"/>
        <w:left w:val="none" w:sz="0" w:space="0" w:color="auto"/>
        <w:bottom w:val="none" w:sz="0" w:space="0" w:color="auto"/>
        <w:right w:val="none" w:sz="0" w:space="0" w:color="auto"/>
      </w:divBdr>
    </w:div>
    <w:div w:id="528615254">
      <w:bodyDiv w:val="1"/>
      <w:marLeft w:val="0"/>
      <w:marRight w:val="0"/>
      <w:marTop w:val="0"/>
      <w:marBottom w:val="0"/>
      <w:divBdr>
        <w:top w:val="none" w:sz="0" w:space="0" w:color="auto"/>
        <w:left w:val="none" w:sz="0" w:space="0" w:color="auto"/>
        <w:bottom w:val="none" w:sz="0" w:space="0" w:color="auto"/>
        <w:right w:val="none" w:sz="0" w:space="0" w:color="auto"/>
      </w:divBdr>
    </w:div>
    <w:div w:id="98948181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9989292">
      <w:bodyDiv w:val="1"/>
      <w:marLeft w:val="0"/>
      <w:marRight w:val="0"/>
      <w:marTop w:val="0"/>
      <w:marBottom w:val="0"/>
      <w:divBdr>
        <w:top w:val="none" w:sz="0" w:space="0" w:color="auto"/>
        <w:left w:val="none" w:sz="0" w:space="0" w:color="auto"/>
        <w:bottom w:val="none" w:sz="0" w:space="0" w:color="auto"/>
        <w:right w:val="none" w:sz="0" w:space="0" w:color="auto"/>
      </w:divBdr>
    </w:div>
    <w:div w:id="1750881268">
      <w:bodyDiv w:val="1"/>
      <w:marLeft w:val="0"/>
      <w:marRight w:val="0"/>
      <w:marTop w:val="0"/>
      <w:marBottom w:val="0"/>
      <w:divBdr>
        <w:top w:val="none" w:sz="0" w:space="0" w:color="auto"/>
        <w:left w:val="none" w:sz="0" w:space="0" w:color="auto"/>
        <w:bottom w:val="none" w:sz="0" w:space="0" w:color="auto"/>
        <w:right w:val="none" w:sz="0" w:space="0" w:color="auto"/>
      </w:divBdr>
    </w:div>
    <w:div w:id="1872457366">
      <w:bodyDiv w:val="1"/>
      <w:marLeft w:val="0"/>
      <w:marRight w:val="0"/>
      <w:marTop w:val="0"/>
      <w:marBottom w:val="0"/>
      <w:divBdr>
        <w:top w:val="none" w:sz="0" w:space="0" w:color="auto"/>
        <w:left w:val="none" w:sz="0" w:space="0" w:color="auto"/>
        <w:bottom w:val="none" w:sz="0" w:space="0" w:color="auto"/>
        <w:right w:val="none" w:sz="0" w:space="0" w:color="auto"/>
      </w:divBdr>
    </w:div>
    <w:div w:id="205870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bertl\Documents\3GPP\SA\SA2\124\QoS\R2-17xxxxx%20-%20ULL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5NUHHDQN7SK2-1-186066</_dlc_DocId>
    <_dlc_DocIdUrl xmlns="08b2df90-05d3-4030-90d4-c9feeb4a1cd9">
      <Url>https://ericoll.internal.ericsson.com/sites/star/_layouts/DocIdRedir.aspx?ID=5NUHHDQN7SK2-1-186066</Url>
      <Description>5NUHHDQN7SK2-1-186066</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60C69456-2AC2-4753-9CE3-4D4F87AF9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ULLC</Template>
  <TotalTime>61</TotalTime>
  <Pages>5</Pages>
  <Words>1167</Words>
  <Characters>9458</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7911</dc:creator>
  <cp:keywords>Ericsson; TDoc; 3GPP</cp:keywords>
  <cp:lastModifiedBy>Riikka Susitaival</cp:lastModifiedBy>
  <cp:revision>37</cp:revision>
  <cp:lastPrinted>2008-01-31T16:09:00Z</cp:lastPrinted>
  <dcterms:created xsi:type="dcterms:W3CDTF">2017-11-16T13:32:00Z</dcterms:created>
  <dcterms:modified xsi:type="dcterms:W3CDTF">2017-11-17T00:08:00Z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f8744744-a0de-4ce5-838a-a96206efd58d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